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24"/>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24"/>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pStyle w:val="924"/>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项目名称：洪泽湖保护区安全预警监测项目</w:t>
      </w:r>
      <w:r>
        <w:rPr>
          <w:rFonts w:hint="eastAsia" w:ascii="宋体" w:hAnsi="宋体" w:eastAsia="宋体" w:cs="宋体"/>
          <w:b/>
          <w:bCs/>
          <w:color w:val="000000"/>
          <w:sz w:val="32"/>
          <w:szCs w:val="32"/>
        </w:rPr>
      </w:r>
      <w:r/>
    </w:p>
    <w:p>
      <w:pPr>
        <w:pStyle w:val="924"/>
        <w:ind w:firstLine="640"/>
        <w:keepLines w:val="0"/>
        <w:keepNext w:val="0"/>
        <w:pageBreakBefore w:val="0"/>
        <w:spacing w:before="120" w:after="120" w:line="660" w:lineRule="exact"/>
        <w:widowControl w:val="off"/>
        <w:rPr>
          <w:rFonts w:ascii="Arial" w:hAnsi="Arial"/>
          <w:b/>
          <w:bCs/>
          <w:sz w:val="32"/>
          <w:szCs w:val="24"/>
          <w:lang w:val="en-US"/>
        </w:rPr>
      </w:pPr>
      <w:r>
        <w:rPr>
          <w:rFonts w:hint="eastAsia" w:ascii="宋体" w:hAnsi="宋体" w:eastAsia="宋体" w:cs="宋体"/>
          <w:b/>
          <w:bCs/>
          <w:sz w:val="32"/>
          <w:szCs w:val="32"/>
          <w:lang w:eastAsia="zh-CN"/>
        </w:rPr>
        <w:t xml:space="preserve">采购编号</w:t>
      </w:r>
      <w:r>
        <w:rPr>
          <w:rFonts w:hint="eastAsia" w:ascii="宋体" w:hAnsi="宋体" w:eastAsia="宋体" w:cs="宋体"/>
          <w:b/>
          <w:bCs/>
          <w:sz w:val="32"/>
          <w:szCs w:val="32"/>
        </w:rPr>
        <w:t xml:space="preserve">：</w:t>
      </w:r>
      <w:r>
        <w:rPr>
          <w:rFonts w:hint="eastAsia" w:ascii="Arial" w:hAnsi="Arial"/>
          <w:b/>
          <w:bCs/>
          <w:sz w:val="32"/>
          <w:szCs w:val="24"/>
        </w:rPr>
        <w:t xml:space="preserve">JSZC-320000-</w:t>
      </w:r>
      <w:r>
        <w:rPr>
          <w:rFonts w:hint="eastAsia" w:ascii="Arial" w:hAnsi="Arial"/>
          <w:b/>
          <w:bCs/>
          <w:sz w:val="32"/>
          <w:szCs w:val="24"/>
          <w:lang w:val="en-US" w:eastAsia="zh-CN"/>
        </w:rPr>
        <w:t xml:space="preserve">SCZX-G2026-0246</w:t>
      </w:r>
      <w:r>
        <w:rPr>
          <w:rFonts w:ascii="Arial" w:hAnsi="Arial"/>
          <w:b/>
          <w:bCs/>
          <w:sz w:val="32"/>
          <w:szCs w:val="24"/>
          <w:lang w:val="en-US"/>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24"/>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rPr>
          <w:rFonts w:hint="eastAsia" w:ascii="宋体" w:hAnsi="宋体" w:eastAsia="宋体" w:cs="宋体"/>
          <w:b/>
          <w:bCs/>
          <w:color w:val="000000"/>
          <w:sz w:val="32"/>
          <w:szCs w:val="32"/>
        </w:rPr>
      </w:r>
      <w:r/>
    </w:p>
    <w:p>
      <w:pPr>
        <w:pStyle w:val="924"/>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7</w:t>
      </w:r>
      <w:r>
        <w:rPr>
          <w:rFonts w:hint="eastAsia" w:ascii="宋体" w:hAnsi="宋体" w:eastAsia="宋体" w:cs="宋体"/>
          <w:b/>
          <w:bCs/>
          <w:color w:val="000000"/>
          <w:sz w:val="32"/>
          <w:szCs w:val="32"/>
        </w:rPr>
        <w:t xml:space="preserve">月</w:t>
      </w:r>
      <w:r>
        <w:rPr>
          <w:rFonts w:hint="eastAsia" w:ascii="宋体" w:hAnsi="宋体" w:eastAsia="宋体" w:cs="宋体"/>
          <w:b/>
          <w:bCs/>
          <w:color w:val="000000"/>
          <w:sz w:val="32"/>
          <w:szCs w:val="32"/>
        </w:rPr>
      </w:r>
      <w:r/>
    </w:p>
    <w:p>
      <w:pPr>
        <w:pStyle w:val="924"/>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u w:val="single"/>
        </w:rPr>
      </w:r>
      <w:r/>
    </w:p>
    <w:p>
      <w:pPr>
        <w:pStyle w:val="92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4"/>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黑体" w:eastAsia="黑体" w:cs="黑体"/>
          <w:b w:val="0"/>
          <w:bCs/>
          <w:color w:val="000000"/>
          <w:sz w:val="36"/>
          <w:szCs w:val="36"/>
        </w:rPr>
        <w:t xml:space="preserve">总  目  录</w:t>
      </w:r>
      <w:r>
        <w:rPr>
          <w:rFonts w:hint="eastAsia" w:ascii="黑体" w:hAnsi="黑体" w:eastAsia="黑体" w:cs="黑体"/>
          <w:b/>
          <w:color w:val="000000"/>
          <w:sz w:val="36"/>
          <w:szCs w:val="36"/>
        </w:rPr>
      </w:r>
      <w:r/>
    </w:p>
    <w:p>
      <w:pPr>
        <w:pStyle w:val="924"/>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投标邀请……………………………………3 </w:t>
      </w:r>
      <w:r>
        <w:rPr>
          <w:rFonts w:hint="eastAsia" w:ascii="黑体" w:hAnsi="黑体" w:eastAsia="黑体" w:cs="黑体"/>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…………………………………6  </w:t>
      </w:r>
      <w:r>
        <w:rPr>
          <w:rFonts w:hint="eastAsia" w:ascii="黑体" w:hAnsi="黑体" w:eastAsia="黑体" w:cs="黑体"/>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合同文本……………………………………16</w:t>
      </w:r>
      <w:r>
        <w:rPr>
          <w:rFonts w:hint="eastAsia" w:ascii="黑体" w:hAnsi="黑体" w:eastAsia="黑体" w:cs="黑体"/>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采购需求……………………………………33</w:t>
      </w:r>
      <w:r>
        <w:rPr>
          <w:rFonts w:hint="eastAsia" w:ascii="黑体" w:hAnsi="黑体" w:eastAsia="黑体" w:cs="黑体"/>
          <w:color w:val="000000"/>
          <w:sz w:val="36"/>
          <w:szCs w:val="36"/>
        </w:rPr>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rPr>
        <w:t xml:space="preserve">44</w:t>
      </w:r>
      <w:r/>
    </w:p>
    <w:p>
      <w:pPr>
        <w:pStyle w:val="924"/>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w:t>
      </w:r>
      <w:r>
        <w:rPr>
          <w:rFonts w:hint="eastAsia" w:ascii="黑体" w:hAnsi="黑体" w:eastAsia="黑体" w:cs="黑体"/>
          <w:color w:val="000000"/>
          <w:sz w:val="36"/>
          <w:szCs w:val="36"/>
        </w:rPr>
        <w:t xml:space="preserve">49</w:t>
      </w:r>
      <w:r/>
    </w:p>
    <w:p>
      <w:pPr>
        <w:pStyle w:val="924"/>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pStyle w:val="924"/>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color w:val="000000"/>
          <w:sz w:val="44"/>
          <w:szCs w:val="4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受江苏省泗洪洪泽湖湿地国家级自然保护区管理处的委托，江苏省政府采购中心就洪泽湖保护区安全预警监测项目(JSZC-320000-SCZX-G2026-0246)项目进行公开招标采购，欢迎符合条件的供应商投标。</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洪泽湖保护区安全预警监测项目</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招标文件，并于2026</w:t>
      </w:r>
      <w:r>
        <w:rPr>
          <w:rFonts w:hint="eastAsia" w:ascii="宋体" w:hAnsi="宋体" w:eastAsia="宋体" w:cs="宋体"/>
          <w:bCs/>
          <w:color w:val="000000"/>
          <w:sz w:val="24"/>
          <w:szCs w:val="24"/>
          <w:u w:val="none"/>
        </w:rPr>
        <w:t xml:space="preserve">年7</w:t>
      </w:r>
      <w:r>
        <w:rPr>
          <w:rFonts w:hint="eastAsia" w:ascii="宋体" w:hAnsi="宋体" w:eastAsia="宋体" w:cs="宋体"/>
          <w:bCs/>
          <w:color w:val="000000"/>
          <w:sz w:val="24"/>
          <w:szCs w:val="24"/>
          <w:u w:val="none"/>
        </w:rPr>
        <w:t xml:space="preserve">月28</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5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SCZX-G2026-0246</w:t>
      </w:r>
      <w:r>
        <w:rPr>
          <w:rFonts w:ascii="宋体" w:hAnsi="宋体" w:eastAsia="宋体" w:cs="宋体"/>
          <w:color w:val="000000"/>
          <w:sz w:val="24"/>
          <w:szCs w:val="24"/>
          <w:lang w:val="en-US"/>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洪泽湖保护区安全预警监测项目</w:t>
      </w:r>
      <w:r>
        <w:rPr>
          <w:rFonts w:hint="eastAsia" w:ascii="宋体" w:hAnsi="宋体" w:eastAsia="宋体" w:cs="宋体"/>
          <w:color w:val="000000"/>
          <w:sz w:val="24"/>
          <w:szCs w:val="24"/>
          <w:lang w:eastAsia="zh-CN"/>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bookmarkEnd w:id="11"/>
      <w:r>
        <w:rPr>
          <w:rFonts w:hint="eastAsia" w:ascii="宋体" w:hAnsi="宋体" w:eastAsia="宋体" w:cs="宋体"/>
          <w:sz w:val="24"/>
          <w:szCs w:val="24"/>
        </w:rPr>
        <w:t xml:space="preserve">3.预算金额</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24"/>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4"/>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3312" w:type="dxa"/>
            <w:vAlign w:val="top"/>
            <w:textDirection w:val="lrTb"/>
            <w:noWrap w:val="false"/>
          </w:tcPr>
          <w:p>
            <w:pPr>
              <w:pStyle w:val="924"/>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r>
            <w:r/>
          </w:p>
          <w:p>
            <w:pPr>
              <w:pStyle w:val="924"/>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（人民币：万元）</w:t>
            </w:r>
            <w:r>
              <w:rPr>
                <w:rFonts w:hint="eastAsia" w:ascii="宋体" w:hAnsi="宋体" w:eastAsia="宋体" w:cs="宋体"/>
                <w:sz w:val="24"/>
                <w:szCs w:val="24"/>
              </w:rPr>
            </w:r>
            <w:r/>
          </w:p>
        </w:tc>
      </w:tr>
      <w:tr>
        <w:trPr/>
        <w:tc>
          <w:tcPr>
            <w:tcW w:w="1092" w:type="dxa"/>
            <w:vAlign w:val="top"/>
            <w:textDirection w:val="lrTb"/>
            <w:noWrap w:val="false"/>
          </w:tcPr>
          <w:p>
            <w:pPr>
              <w:pStyle w:val="924"/>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12" w:type="dxa"/>
            <w:vAlign w:val="top"/>
            <w:textDirection w:val="lrTb"/>
            <w:noWrap w:val="false"/>
          </w:tcPr>
          <w:p>
            <w:pPr>
              <w:pStyle w:val="924"/>
              <w:ind w:firstLine="960"/>
              <w:jc w:val="both"/>
              <w:keepLines w:val="0"/>
              <w:keepNext w:val="0"/>
              <w:pageBreakBefore w:val="0"/>
              <w:spacing w:line="0" w:lineRule="atLeast"/>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408.55</w:t>
            </w:r>
            <w:r>
              <w:rPr>
                <w:rFonts w:ascii="宋体" w:hAnsi="宋体" w:eastAsia="宋体" w:cs="宋体"/>
                <w:sz w:val="24"/>
                <w:szCs w:val="24"/>
                <w:lang w:val="en-US" w:eastAsia="zh-CN"/>
              </w:rPr>
            </w:r>
            <w:r/>
          </w:p>
        </w:tc>
      </w:tr>
    </w:tbl>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673"/>
        </w:trPr>
        <w:tc>
          <w:tcPr>
            <w:tcW w:w="1085" w:type="dxa"/>
            <w:vAlign w:val="top"/>
            <w:textDirection w:val="lrTb"/>
            <w:noWrap w:val="false"/>
          </w:tcPr>
          <w:p>
            <w:pPr>
              <w:pStyle w:val="924"/>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24"/>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296" w:type="dxa"/>
            <w:vAlign w:val="top"/>
            <w:textDirection w:val="lrTb"/>
            <w:noWrap w:val="false"/>
          </w:tcPr>
          <w:p>
            <w:pPr>
              <w:pStyle w:val="924"/>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rPr>
            </w:r>
            <w:r/>
          </w:p>
          <w:p>
            <w:pPr>
              <w:pStyle w:val="924"/>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rPr>
                <w:rFonts w:hint="eastAsia" w:ascii="宋体" w:hAnsi="宋体" w:eastAsia="宋体" w:cs="宋体"/>
                <w:color w:val="000000"/>
                <w:sz w:val="24"/>
                <w:szCs w:val="24"/>
              </w:rPr>
            </w:r>
            <w:r/>
          </w:p>
        </w:tc>
      </w:tr>
      <w:tr>
        <w:trPr/>
        <w:tc>
          <w:tcPr>
            <w:tcW w:w="1085" w:type="dxa"/>
            <w:vAlign w:val="top"/>
            <w:textDirection w:val="lrTb"/>
            <w:noWrap w:val="false"/>
          </w:tcPr>
          <w:p>
            <w:pPr>
              <w:pStyle w:val="924"/>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96" w:type="dxa"/>
            <w:vAlign w:val="top"/>
            <w:textDirection w:val="lrTb"/>
            <w:noWrap w:val="false"/>
          </w:tcPr>
          <w:p>
            <w:pPr>
              <w:pStyle w:val="924"/>
              <w:jc w:val="center"/>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408.55</w:t>
            </w:r>
            <w:r>
              <w:rPr>
                <w:rFonts w:ascii="宋体" w:hAnsi="宋体" w:eastAsia="宋体" w:cs="宋体"/>
                <w:color w:val="000000"/>
                <w:sz w:val="24"/>
                <w:szCs w:val="24"/>
                <w:lang w:val="en-US" w:eastAsia="zh-CN"/>
              </w:rPr>
            </w:r>
            <w:r/>
          </w:p>
        </w:tc>
      </w:tr>
    </w:tbl>
    <w:p>
      <w:pPr>
        <w:pStyle w:val="924"/>
        <w:ind w:firstLine="480"/>
        <w:keepLines w:val="0"/>
        <w:keepNext w:val="0"/>
        <w:pageBreakBefore w:val="0"/>
        <w:spacing w:line="56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5.采购需求(简介)：</w:t>
      </w:r>
      <w:r>
        <w:rPr>
          <w:rFonts w:hint="eastAsia" w:ascii="宋体" w:hAnsi="宋体" w:eastAsia="宋体" w:cs="宋体"/>
          <w:color w:val="000000"/>
          <w:sz w:val="24"/>
          <w:szCs w:val="24"/>
          <w:lang w:eastAsia="zh-CN"/>
        </w:rPr>
        <w:t xml:space="preserve">实现保护区全方位监控，满足日常巡护、安全预警等功能的需求，购置安全预警监测设备1套，包括一体化云台摄像机2台；多功能电箱2台；前置边缘网关识别设备(含内置算法)15台；管理配备服务器1台（含软件功能）；流媒体存储/分发服务器1台（含软件功能）；后端预警识别服务器1台（含软件功能）；大模型服务器(含内置算法)1台。</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color w:val="000000"/>
          <w:sz w:val="24"/>
          <w:szCs w:val="24"/>
          <w:u w:val="single"/>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lang w:eastAsia="zh-CN"/>
        </w:rPr>
        <w:t xml:space="preserve">自合同签订之日起，60个日历天内完成所有合同标的的设备交货，交货后60个日历天内完成所有合同标的施工、集成、调试工作，完成项目整体建设交付。</w:t>
      </w:r>
      <w:r>
        <w:rPr>
          <w:rFonts w:hint="eastAsia" w:ascii="宋体" w:hAnsi="宋体" w:eastAsia="宋体" w:cs="宋体"/>
          <w:color w:val="000000"/>
          <w:sz w:val="24"/>
          <w:szCs w:val="24"/>
          <w:u w:val="single"/>
          <w:lang w:eastAsia="zh-CN"/>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12" w:name="_Toc35393791"/>
      <w:r/>
      <w:bookmarkStart w:id="13" w:name="_Toc38985264"/>
      <w:r/>
      <w:bookmarkStart w:id="14" w:name="_Toc35393622"/>
      <w:r/>
      <w:bookmarkStart w:id="15" w:name="_Toc28359003"/>
      <w:r/>
      <w:bookmarkStart w:id="16" w:name="_Toc28359080"/>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24"/>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38985265"/>
      <w:r/>
      <w:bookmarkStart w:id="19" w:name="_Toc35393792"/>
      <w:r/>
      <w:bookmarkStart w:id="20" w:name="_Toc28359004"/>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color w:val="000000"/>
          <w:sz w:val="24"/>
          <w:szCs w:val="24"/>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sz w:val="24"/>
          <w:szCs w:val="24"/>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rPr>
      </w:r>
      <w:r/>
    </w:p>
    <w:p>
      <w:pPr>
        <w:pStyle w:val="924"/>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4.联合体投标</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2968"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rPr>
                <w:rFonts w:hint="eastAsia" w:ascii="宋体" w:hAnsi="宋体" w:eastAsia="宋体" w:cs="宋体"/>
                <w:sz w:val="24"/>
                <w:szCs w:val="24"/>
              </w:rPr>
            </w:r>
            <w:r/>
          </w:p>
        </w:tc>
        <w:tc>
          <w:tcPr>
            <w:tcW w:w="2967"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rPr>
                <w:rFonts w:hint="eastAsia" w:ascii="宋体" w:hAnsi="宋体" w:eastAsia="宋体" w:cs="宋体"/>
                <w:sz w:val="24"/>
                <w:szCs w:val="24"/>
              </w:rPr>
            </w:r>
            <w:r/>
          </w:p>
        </w:tc>
      </w:tr>
      <w:tr>
        <w:trPr/>
        <w:tc>
          <w:tcPr>
            <w:tcW w:w="1148"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968"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c>
          <w:tcPr>
            <w:tcW w:w="2967" w:type="dxa"/>
            <w:vAlign w:val="top"/>
            <w:textDirection w:val="lrTb"/>
            <w:noWrap w:val="false"/>
          </w:tcPr>
          <w:p>
            <w:pPr>
              <w:pStyle w:val="924"/>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24"/>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5921"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特定资格要求</w:t>
            </w:r>
            <w:r>
              <w:rPr>
                <w:rFonts w:hint="eastAsia" w:ascii="宋体" w:hAnsi="宋体" w:eastAsia="宋体" w:cs="宋体"/>
                <w:sz w:val="24"/>
                <w:szCs w:val="24"/>
              </w:rPr>
            </w:r>
            <w:r/>
          </w:p>
        </w:tc>
      </w:tr>
      <w:tr>
        <w:trPr/>
        <w:tc>
          <w:tcPr>
            <w:tcW w:w="1148" w:type="dxa"/>
            <w:vAlign w:val="top"/>
            <w:textDirection w:val="lrTb"/>
            <w:noWrap w:val="false"/>
          </w:tcPr>
          <w:p>
            <w:pPr>
              <w:pStyle w:val="924"/>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921" w:type="dxa"/>
            <w:vAlign w:val="top"/>
            <w:textDirection w:val="lrTb"/>
            <w:noWrap w:val="false"/>
          </w:tcPr>
          <w:p>
            <w:pPr>
              <w:pStyle w:val="924"/>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rPr>
          <w:rFonts w:hint="eastAsia" w:ascii="宋体" w:hAnsi="宋体" w:eastAsia="宋体" w:cs="宋体"/>
          <w:sz w:val="24"/>
          <w:szCs w:val="24"/>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rPr>
          <w:rFonts w:hint="eastAsia" w:ascii="宋体" w:hAnsi="宋体" w:eastAsia="宋体" w:cs="宋体"/>
          <w:sz w:val="24"/>
          <w:szCs w:val="24"/>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1.2026</w:t>
      </w:r>
      <w:r>
        <w:rPr>
          <w:rFonts w:hint="eastAsia" w:ascii="宋体" w:hAnsi="宋体" w:eastAsia="宋体" w:cs="宋体"/>
          <w:bCs/>
          <w:color w:val="000000"/>
          <w:sz w:val="24"/>
          <w:szCs w:val="24"/>
          <w:u w:val="none"/>
        </w:rPr>
        <w:t xml:space="preserve">年</w:t>
      </w:r>
      <w:r>
        <w:rPr>
          <w:rFonts w:hint="eastAsia" w:ascii="宋体" w:hAnsi="宋体" w:eastAsia="宋体" w:cs="宋体"/>
          <w:color w:val="000000"/>
          <w:sz w:val="24"/>
          <w:szCs w:val="24"/>
          <w:lang w:val="en-US" w:eastAsia="zh-CN"/>
        </w:rPr>
        <w:t xml:space="preserve">7</w:t>
      </w:r>
      <w:r>
        <w:rPr>
          <w:rFonts w:hint="eastAsia" w:ascii="宋体" w:hAnsi="宋体" w:eastAsia="宋体" w:cs="宋体"/>
          <w:bCs/>
          <w:color w:val="000000"/>
          <w:sz w:val="24"/>
          <w:szCs w:val="24"/>
          <w:u w:val="none"/>
        </w:rPr>
        <w:t xml:space="preserve">月28</w:t>
      </w:r>
      <w:r>
        <w:rPr>
          <w:rFonts w:hint="eastAsia" w:ascii="宋体" w:hAnsi="宋体" w:eastAsia="宋体" w:cs="宋体"/>
          <w:bCs/>
          <w:color w:val="000000"/>
          <w:sz w:val="24"/>
          <w:szCs w:val="24"/>
          <w:u w:val="none"/>
        </w:rPr>
        <w:t xml:space="preserve">日9</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rPr>
          <w:rFonts w:hint="eastAsia" w:ascii="宋体" w:hAnsi="宋体" w:eastAsia="宋体" w:cs="宋体"/>
          <w:sz w:val="24"/>
          <w:szCs w:val="24"/>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7" w:name="_Toc35393794"/>
      <w:r/>
      <w:bookmarkStart w:id="28" w:name="_Toc28359007"/>
      <w:r/>
      <w:bookmarkStart w:id="29" w:name="_Toc28359084"/>
      <w:r/>
      <w:bookmarkStart w:id="30" w:name="_Toc35393625"/>
      <w:r/>
      <w:bookmarkStart w:id="31" w:name="_Toc38985267"/>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2" w:name="_Toc35393795"/>
      <w:r/>
      <w:bookmarkStart w:id="33" w:name="_Toc38985268"/>
      <w:r/>
      <w:bookmarkStart w:id="34" w:name="_Toc35393626"/>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924"/>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无</w:t>
      </w:r>
      <w:r>
        <w:rPr>
          <w:rFonts w:hint="eastAsia" w:ascii="宋体" w:hAnsi="宋体" w:eastAsia="宋体" w:cs="宋体"/>
          <w:sz w:val="24"/>
          <w:szCs w:val="24"/>
          <w:lang w:eastAsia="zh-CN"/>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5" w:name="_Toc38985269"/>
      <w:r/>
      <w:bookmarkStart w:id="36" w:name="_Toc28359008"/>
      <w:r/>
      <w:bookmarkStart w:id="37" w:name="_Toc35393796"/>
      <w:r/>
      <w:bookmarkStart w:id="38" w:name="_Toc28359085"/>
      <w:r/>
      <w:bookmarkStart w:id="39" w:name="_Toc35393627"/>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24"/>
        <w:jc w:val="left"/>
        <w:keepLines w:val="0"/>
        <w:pageBreakBefore w:val="0"/>
        <w:spacing w:line="560" w:lineRule="exact"/>
        <w:widowControl/>
        <w:rPr>
          <w:rFonts w:hint="eastAsia" w:ascii="宋体" w:hAnsi="宋体" w:eastAsia="宋体" w:cs="宋体"/>
          <w:color w:val="000000"/>
          <w:sz w:val="24"/>
          <w:szCs w:val="24"/>
        </w:rPr>
      </w:pP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　1.采购人信息</w:t>
      </w:r>
      <w:r>
        <w:rPr>
          <w:rFonts w:hint="eastAsia" w:ascii="宋体" w:hAnsi="宋体" w:eastAsia="宋体" w:cs="宋体"/>
          <w:color w:val="000000"/>
          <w:sz w:val="24"/>
          <w:szCs w:val="24"/>
        </w:rPr>
      </w:r>
      <w:r/>
    </w:p>
    <w:p>
      <w:pPr>
        <w:pStyle w:val="924"/>
        <w:ind w:firstLine="480"/>
        <w:jc w:val="left"/>
        <w:keepLines w:val="0"/>
        <w:pageBreakBefore w:val="0"/>
        <w:spacing w:line="560" w:lineRule="exact"/>
        <w:rPr>
          <w:rFonts w:hint="eastAsia" w:ascii="宋体" w:hAnsi="宋体" w:eastAsia="宋体" w:cs="宋体"/>
          <w:color w:val="000000"/>
          <w:sz w:val="24"/>
          <w:szCs w:val="24"/>
        </w:rPr>
      </w:pPr>
      <w:r/>
      <w:bookmarkStart w:id="40" w:name="_Toc28359086"/>
      <w:r/>
      <w:bookmarkStart w:id="41" w:name="_Toc28359009"/>
      <w:r>
        <w:rPr>
          <w:rFonts w:hint="eastAsia" w:ascii="宋体" w:hAnsi="宋体" w:eastAsia="宋体" w:cs="宋体"/>
          <w:color w:val="000000"/>
          <w:sz w:val="24"/>
          <w:szCs w:val="24"/>
        </w:rPr>
        <w:t xml:space="preserve">单位名称：江苏省泗洪洪泽湖湿地国家级自然保护区管理处</w:t>
      </w:r>
      <w:r>
        <w:rPr>
          <w:rFonts w:hint="eastAsia" w:ascii="宋体" w:hAnsi="宋体" w:eastAsia="宋体" w:cs="宋体"/>
          <w:color w:val="000000"/>
          <w:sz w:val="24"/>
          <w:szCs w:val="24"/>
        </w:rPr>
      </w:r>
      <w:r/>
    </w:p>
    <w:p>
      <w:pPr>
        <w:pStyle w:val="924"/>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单位地址：江苏泗洪洪泽湖湿地国家级自然保护区</w:t>
      </w:r>
      <w:r>
        <w:rPr>
          <w:rFonts w:hint="eastAsia" w:ascii="宋体" w:hAnsi="宋体" w:eastAsia="宋体" w:cs="宋体"/>
          <w:color w:val="000000"/>
          <w:sz w:val="24"/>
          <w:szCs w:val="24"/>
        </w:rPr>
      </w:r>
      <w:r/>
    </w:p>
    <w:p>
      <w:pPr>
        <w:pStyle w:val="924"/>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联系人：肖先生</w:t>
      </w:r>
      <w:r>
        <w:rPr>
          <w:rFonts w:hint="eastAsia" w:ascii="宋体" w:hAnsi="宋体" w:eastAsia="宋体" w:cs="宋体"/>
          <w:color w:val="000000"/>
          <w:sz w:val="24"/>
          <w:szCs w:val="24"/>
        </w:rPr>
      </w:r>
      <w:r/>
    </w:p>
    <w:p>
      <w:pPr>
        <w:pStyle w:val="924"/>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联系电话：0527-86409790</w:t>
      </w:r>
      <w:r>
        <w:rPr>
          <w:rFonts w:hint="eastAsia" w:ascii="宋体" w:hAnsi="宋体" w:eastAsia="宋体" w:cs="宋体"/>
          <w:color w:val="000000"/>
          <w:sz w:val="24"/>
          <w:szCs w:val="24"/>
        </w:rPr>
      </w:r>
      <w:r/>
    </w:p>
    <w:p>
      <w:pPr>
        <w:pStyle w:val="924"/>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Pr>
          <w:rFonts w:hint="eastAsia" w:ascii="宋体" w:hAnsi="宋体" w:eastAsia="宋体" w:cs="宋体"/>
          <w:color w:val="000000"/>
          <w:sz w:val="24"/>
          <w:szCs w:val="24"/>
        </w:rPr>
      </w:r>
      <w:r/>
    </w:p>
    <w:p>
      <w:pPr>
        <w:pStyle w:val="924"/>
        <w:ind w:firstLine="480"/>
        <w:jc w:val="left"/>
        <w:keepLines w:val="0"/>
        <w:keepNext/>
        <w:pageBreakBefore w:val="0"/>
        <w:spacing w:line="56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地 址：南京市汉中门大街145号省政务中心二期3楼南区</w:t>
      </w:r>
      <w:r>
        <w:rPr>
          <w:rFonts w:hint="eastAsia" w:ascii="宋体" w:hAnsi="宋体" w:eastAsia="宋体" w:cs="宋体"/>
          <w:color w:val="000000"/>
          <w:sz w:val="24"/>
          <w:szCs w:val="24"/>
        </w:rPr>
      </w:r>
      <w:r/>
    </w:p>
    <w:p>
      <w:pPr>
        <w:pStyle w:val="924"/>
        <w:ind w:firstLine="480"/>
        <w:jc w:val="left"/>
        <w:keepLines w:val="0"/>
        <w:keepNext/>
        <w:pageBreakBefore w:val="0"/>
        <w:spacing w:line="56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联系人：程施雪、许滢</w:t>
      </w:r>
      <w:r>
        <w:rPr>
          <w:rFonts w:hint="eastAsia" w:ascii="宋体" w:hAnsi="宋体" w:eastAsia="宋体" w:cs="宋体"/>
          <w:color w:val="000000"/>
          <w:sz w:val="24"/>
          <w:szCs w:val="24"/>
        </w:rPr>
      </w:r>
      <w:r/>
    </w:p>
    <w:p>
      <w:pPr>
        <w:pStyle w:val="924"/>
        <w:ind w:firstLine="480"/>
        <w:jc w:val="left"/>
        <w:keepLines w:val="0"/>
        <w:keepNext/>
        <w:pageBreakBefore w:val="0"/>
        <w:spacing w:line="560" w:lineRule="exact"/>
        <w:widowControl w:val="off"/>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联系方式：025-83668556</w:t>
      </w:r>
      <w:r>
        <w:rPr>
          <w:rFonts w:hint="eastAsia" w:ascii="宋体" w:hAnsi="宋体" w:eastAsia="宋体" w:cs="宋体"/>
          <w:color w:val="000000"/>
          <w:sz w:val="24"/>
          <w:szCs w:val="24"/>
        </w:rPr>
      </w:r>
      <w:r/>
    </w:p>
    <w:p>
      <w:pPr>
        <w:pStyle w:val="924"/>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24"/>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bCs/>
          <w:sz w:val="24"/>
          <w:szCs w:val="24"/>
        </w:rPr>
      </w:r>
      <w:r/>
    </w:p>
    <w:p>
      <w:pPr>
        <w:pStyle w:val="924"/>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rPr>
          <w:rFonts w:hint="eastAsia" w:ascii="宋体" w:hAnsi="宋体" w:eastAsia="宋体" w:cs="宋体"/>
          <w:bCs/>
          <w:sz w:val="24"/>
          <w:szCs w:val="24"/>
        </w:rPr>
      </w:r>
      <w:r/>
    </w:p>
    <w:p>
      <w:pPr>
        <w:pStyle w:val="924"/>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sz w:val="24"/>
          <w:szCs w:val="24"/>
        </w:rPr>
      </w:r>
      <w:r/>
    </w:p>
    <w:p>
      <w:pPr>
        <w:pStyle w:val="924"/>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rPr>
          <w:rFonts w:hint="eastAsia" w:ascii="宋体" w:hAnsi="宋体" w:eastAsia="宋体" w:cs="宋体"/>
          <w:bCs/>
          <w:sz w:val="24"/>
          <w:szCs w:val="24"/>
        </w:rPr>
      </w:r>
      <w:r/>
    </w:p>
    <w:p>
      <w:pPr>
        <w:pStyle w:val="924"/>
        <w:ind w:firstLine="48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3.本次招标不收取投标保证金。</w:t>
      </w:r>
      <w:r>
        <w:rPr>
          <w:rFonts w:hint="eastAsia" w:ascii="方正仿宋_GBK" w:hAnsi="方正仿宋_GBK" w:eastAsia="方正仿宋_GBK" w:cs="方正仿宋_GBK"/>
          <w:bCs/>
          <w:sz w:val="32"/>
          <w:szCs w:val="32"/>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right="840"/>
        <w:rPr>
          <w:rFonts w:hint="eastAsia" w:ascii="宋体" w:hAnsi="宋体"/>
          <w:color w:val="000000"/>
          <w:sz w:val="24"/>
          <w:szCs w:val="24"/>
        </w:rPr>
      </w:pPr>
      <w:r>
        <w:rPr>
          <w:rFonts w:hint="eastAsia" w:ascii="宋体" w:hAnsi="宋体"/>
          <w:color w:val="000000"/>
          <w:sz w:val="24"/>
          <w:szCs w:val="24"/>
        </w:rPr>
      </w:r>
      <w:r/>
    </w:p>
    <w:p>
      <w:pPr>
        <w:pStyle w:val="924"/>
        <w:ind w:firstLine="2420"/>
        <w:keepLines/>
        <w:keepNext/>
        <w:spacing w:before="260" w:after="260" w:line="416" w:lineRule="auto"/>
        <w:rPr>
          <w:rFonts w:hint="eastAsia" w:ascii="黑体" w:hAnsi="Arial" w:eastAsia="黑体" w:cs="Arial"/>
          <w:b/>
          <w:bCs/>
          <w:color w:val="000000"/>
          <w:sz w:val="44"/>
          <w:szCs w:val="44"/>
        </w:rPr>
        <w:outlineLvl w:val="1"/>
      </w:pPr>
      <w:r/>
      <w:bookmarkStart w:id="42"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120614213"/>
      <w:r/>
      <w:bookmarkStart w:id="46" w:name="_Toc20823274"/>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b/>
          <w:bCs/>
          <w:color w:val="000000"/>
          <w:sz w:val="44"/>
          <w:szCs w:val="44"/>
        </w:rPr>
      </w:r>
      <w:r/>
    </w:p>
    <w:p>
      <w:pPr>
        <w:pStyle w:val="924"/>
        <w:ind w:firstLine="496"/>
        <w:keepLines/>
        <w:keepNext/>
        <w:spacing w:before="156" w:after="156" w:line="400" w:lineRule="exact"/>
        <w:rPr>
          <w:rFonts w:hint="eastAsia" w:ascii="Times New Roman" w:hAnsi="Times New Roman"/>
          <w:b/>
          <w:bCs/>
          <w:color w:val="000000"/>
          <w:sz w:val="32"/>
          <w:szCs w:val="32"/>
        </w:rPr>
        <w:outlineLvl w:val="2"/>
      </w:pPr>
      <w:r/>
      <w:bookmarkStart w:id="47" w:name="_Toc513029203"/>
      <w:r/>
      <w:bookmarkStart w:id="48" w:name="_Toc16938519"/>
      <w:r/>
      <w:bookmarkStart w:id="49" w:name="_Toc120614214"/>
      <w:r/>
      <w:bookmarkStart w:id="50" w:name="_Toc20823275"/>
      <w:r/>
      <w:bookmarkStart w:id="51" w:name="_Toc20823306"/>
      <w:r/>
      <w:bookmarkStart w:id="52" w:name="_Toc513029234"/>
      <w:r/>
      <w:bookmarkStart w:id="53" w:name="_Toc16938550"/>
      <w:r>
        <w:rPr>
          <w:rFonts w:hint="eastAsia" w:ascii="Times New Roman" w:hAnsi="Times New Roman"/>
          <w:b/>
          <w:bCs/>
          <w:color w:val="000000"/>
          <w:sz w:val="32"/>
          <w:szCs w:val="32"/>
        </w:rPr>
        <w:t xml:space="preserve">一、总则</w:t>
      </w:r>
      <w:bookmarkEnd w:id="47"/>
      <w:r/>
      <w:bookmarkEnd w:id="48"/>
      <w:r/>
      <w:bookmarkEnd w:id="49"/>
      <w:r/>
      <w:bookmarkEnd w:id="50"/>
      <w:r>
        <w:rPr>
          <w:rFonts w:hint="eastAsia" w:ascii="Times New Roman" w:hAnsi="Times New Roman"/>
          <w:b/>
          <w:bCs/>
          <w:color w:val="000000"/>
          <w:sz w:val="32"/>
          <w:szCs w:val="32"/>
        </w:rPr>
      </w:r>
      <w:r/>
    </w:p>
    <w:p>
      <w:pPr>
        <w:pStyle w:val="924"/>
        <w:ind w:firstLine="420"/>
        <w:keepLines/>
        <w:keepNext/>
        <w:spacing w:line="400" w:lineRule="exact"/>
        <w:rPr>
          <w:rFonts w:hint="eastAsia" w:ascii="Arial" w:hAnsi="Arial" w:eastAsia="黑体" w:cs="Arial"/>
          <w:color w:val="000000"/>
          <w:sz w:val="28"/>
          <w:szCs w:val="28"/>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ascii="Arial" w:hAnsi="Arial" w:eastAsia="黑体" w:cs="Arial"/>
          <w:color w:val="000000"/>
          <w:sz w:val="28"/>
          <w:szCs w:val="28"/>
        </w:rPr>
        <w:t xml:space="preserve">1</w:t>
      </w:r>
      <w:bookmarkEnd w:id="55"/>
      <w:r>
        <w:rPr>
          <w:rFonts w:hint="eastAsia" w:ascii="Arial" w:hAnsi="Arial" w:eastAsia="黑体" w:cs="Arial"/>
          <w:color w:val="000000"/>
          <w:sz w:val="28"/>
          <w:szCs w:val="28"/>
        </w:rPr>
        <w:t xml:space="preserve">、招标方式</w:t>
      </w:r>
      <w:bookmarkEnd w:id="56"/>
      <w:r/>
      <w:bookmarkEnd w:id="57"/>
      <w:r/>
      <w:bookmarkEnd w:id="58"/>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59" w:name="_Toc16938521"/>
      <w:r/>
      <w:bookmarkStart w:id="60" w:name="_Toc513029205"/>
      <w:r/>
      <w:bookmarkStart w:id="61" w:name="_Toc20823277"/>
      <w:r>
        <w:rPr>
          <w:rFonts w:hint="eastAsia" w:ascii="Arial" w:hAnsi="Arial" w:eastAsia="黑体" w:cs="Arial"/>
          <w:color w:val="000000"/>
          <w:sz w:val="28"/>
          <w:szCs w:val="28"/>
        </w:rPr>
        <w:t xml:space="preserve">2、合格的投标人</w:t>
      </w:r>
      <w:bookmarkEnd w:id="59"/>
      <w:r/>
      <w:bookmarkEnd w:id="60"/>
      <w:r/>
      <w:bookmarkEnd w:id="61"/>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lang w:eastAsia="zh-CN"/>
        </w:rPr>
        <w:outlineLvl w:val="3"/>
      </w:pPr>
      <w:r/>
      <w:bookmarkStart w:id="62" w:name="_Toc513029206"/>
      <w:r/>
      <w:bookmarkStart w:id="63" w:name="_Toc16938522"/>
      <w:r/>
      <w:bookmarkStart w:id="64" w:name="_Toc20823278"/>
      <w:r>
        <w:rPr>
          <w:rFonts w:hint="eastAsia" w:ascii="Arial" w:hAnsi="Arial" w:eastAsia="黑体" w:cs="Arial"/>
          <w:color w:val="000000"/>
          <w:sz w:val="28"/>
          <w:szCs w:val="28"/>
        </w:rPr>
        <w:t xml:space="preserve">3、适用法律</w:t>
      </w:r>
      <w:bookmarkEnd w:id="62"/>
      <w:r/>
      <w:bookmarkEnd w:id="63"/>
      <w:r/>
      <w:bookmarkEnd w:id="64"/>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24"/>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24"/>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24"/>
        <w:ind w:firstLine="420"/>
        <w:keepLines/>
        <w:keepNext/>
        <w:spacing w:line="400" w:lineRule="exact"/>
        <w:rPr>
          <w:rFonts w:hint="eastAsia" w:ascii="Arial" w:hAnsi="Arial" w:eastAsia="黑体" w:cs="Arial"/>
          <w:color w:val="000000"/>
          <w:sz w:val="28"/>
          <w:szCs w:val="28"/>
        </w:rPr>
        <w:outlineLvl w:val="3"/>
      </w:pPr>
      <w:r/>
      <w:bookmarkStart w:id="65" w:name="_Toc20823279"/>
      <w:r/>
      <w:bookmarkStart w:id="66" w:name="_Toc16938523"/>
      <w:r/>
      <w:bookmarkStart w:id="67" w:name="_Toc462564067"/>
      <w:r/>
      <w:bookmarkStart w:id="68" w:name="_Toc513029207"/>
      <w:r>
        <w:rPr>
          <w:rFonts w:hint="eastAsia" w:ascii="Arial" w:hAnsi="Arial" w:eastAsia="黑体" w:cs="Arial"/>
          <w:color w:val="000000"/>
          <w:sz w:val="28"/>
          <w:szCs w:val="28"/>
        </w:rPr>
        <w:t xml:space="preserve">4、投标费用</w:t>
      </w:r>
      <w:bookmarkEnd w:id="65"/>
      <w:r/>
      <w:bookmarkEnd w:id="66"/>
      <w:r/>
      <w:bookmarkEnd w:id="67"/>
      <w:r/>
      <w:bookmarkEnd w:id="68"/>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24"/>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2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24"/>
        <w:ind w:firstLine="320"/>
        <w:keepLines/>
        <w:keepNext/>
        <w:spacing w:before="156" w:after="156" w:line="400" w:lineRule="exact"/>
        <w:rPr>
          <w:rFonts w:hint="eastAsia" w:ascii="Times New Roman" w:hAnsi="Times New Roman"/>
          <w:b/>
          <w:bCs/>
          <w:color w:val="000000"/>
          <w:sz w:val="32"/>
          <w:szCs w:val="32"/>
        </w:rPr>
        <w:outlineLvl w:val="2"/>
      </w:pPr>
      <w:r/>
      <w:bookmarkStart w:id="69" w:name="_Toc16938525"/>
      <w:r/>
      <w:bookmarkStart w:id="70" w:name="_Toc513029209"/>
      <w:r/>
      <w:bookmarkStart w:id="71" w:name="_Toc20823281"/>
      <w:r/>
      <w:bookmarkStart w:id="72" w:name="_Toc120614215"/>
      <w:r>
        <w:rPr>
          <w:rFonts w:hint="eastAsia" w:ascii="Times New Roman" w:hAnsi="Times New Roman"/>
          <w:b/>
          <w:bCs/>
          <w:color w:val="000000"/>
          <w:sz w:val="32"/>
          <w:szCs w:val="32"/>
        </w:rPr>
        <w:t xml:space="preserve">二、招标文件</w:t>
      </w:r>
      <w:bookmarkEnd w:id="69"/>
      <w:r/>
      <w:bookmarkEnd w:id="70"/>
      <w:r/>
      <w:bookmarkEnd w:id="71"/>
      <w:r/>
      <w:bookmarkEnd w:id="72"/>
      <w:r>
        <w:rPr>
          <w:rFonts w:hint="eastAsia" w:ascii="Times New Roman" w:hAnsi="Times New Roman"/>
          <w:b/>
          <w:bCs/>
          <w:color w:val="000000"/>
          <w:sz w:val="32"/>
          <w:szCs w:val="32"/>
        </w:rPr>
      </w:r>
      <w:r/>
    </w:p>
    <w:p>
      <w:pPr>
        <w:pStyle w:val="924"/>
        <w:ind w:firstLine="420"/>
        <w:keepLines/>
        <w:keepNext/>
        <w:spacing w:line="400" w:lineRule="exact"/>
        <w:rPr>
          <w:rFonts w:hint="eastAsia" w:ascii="Arial" w:hAnsi="Arial" w:eastAsia="黑体" w:cs="Arial"/>
          <w:color w:val="000000"/>
          <w:sz w:val="28"/>
          <w:szCs w:val="28"/>
        </w:rPr>
        <w:outlineLvl w:val="3"/>
      </w:pPr>
      <w:r/>
      <w:bookmarkStart w:id="73" w:name="_Toc20823282"/>
      <w:r/>
      <w:bookmarkStart w:id="74" w:name="_Toc16938526"/>
      <w:r/>
      <w:bookmarkStart w:id="75" w:name="_Toc513029210"/>
      <w:r>
        <w:rPr>
          <w:rFonts w:hint="eastAsia" w:ascii="Arial" w:hAnsi="Arial" w:eastAsia="黑体" w:cs="Arial"/>
          <w:color w:val="000000"/>
          <w:sz w:val="28"/>
          <w:szCs w:val="28"/>
        </w:rPr>
        <w:t xml:space="preserve">6、招标文件构成</w:t>
      </w:r>
      <w:bookmarkEnd w:id="73"/>
      <w:r/>
      <w:bookmarkEnd w:id="74"/>
      <w:r/>
      <w:bookmarkEnd w:id="75"/>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24"/>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2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24"/>
        <w:ind w:firstLine="560"/>
        <w:keepLines/>
        <w:keepNext/>
        <w:spacing w:line="400" w:lineRule="exact"/>
        <w:rPr>
          <w:rFonts w:hint="eastAsia" w:ascii="Arial" w:hAnsi="Arial" w:eastAsia="黑体" w:cs="Arial"/>
          <w:color w:val="000000"/>
          <w:sz w:val="28"/>
          <w:szCs w:val="28"/>
        </w:rPr>
        <w:outlineLvl w:val="3"/>
      </w:pPr>
      <w:r/>
      <w:bookmarkStart w:id="76" w:name="_Toc16938528"/>
      <w:r/>
      <w:bookmarkStart w:id="77" w:name="_Toc462564071"/>
      <w:r/>
      <w:bookmarkStart w:id="78" w:name="_Toc513029212"/>
      <w:r/>
      <w:bookmarkStart w:id="79"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6"/>
      <w:r/>
      <w:bookmarkEnd w:id="77"/>
      <w:r/>
      <w:bookmarkEnd w:id="78"/>
      <w:r/>
      <w:bookmarkEnd w:id="79"/>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24"/>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24"/>
        <w:ind w:firstLine="480"/>
        <w:keepLines/>
        <w:keepNext/>
        <w:spacing w:before="156" w:after="156" w:line="400" w:lineRule="exact"/>
        <w:rPr>
          <w:rFonts w:hint="eastAsia" w:ascii="Times New Roman" w:hAnsi="Times New Roman"/>
          <w:b/>
          <w:bCs/>
          <w:color w:val="000000"/>
          <w:sz w:val="32"/>
          <w:szCs w:val="32"/>
        </w:rPr>
        <w:outlineLvl w:val="2"/>
      </w:pPr>
      <w:r/>
      <w:bookmarkStart w:id="80" w:name="_Toc513029213"/>
      <w:r/>
      <w:bookmarkStart w:id="81" w:name="_Toc120614216"/>
      <w:r/>
      <w:bookmarkStart w:id="82" w:name="_Toc20823285"/>
      <w:r/>
      <w:bookmarkStart w:id="83" w:name="_Toc462564072"/>
      <w:r/>
      <w:bookmarkStart w:id="84" w:name="_Toc16938529"/>
      <w:r>
        <w:rPr>
          <w:rFonts w:hint="eastAsia" w:ascii="Times New Roman" w:hAnsi="Times New Roman"/>
          <w:b/>
          <w:bCs/>
          <w:color w:val="000000"/>
          <w:sz w:val="32"/>
          <w:szCs w:val="32"/>
        </w:rPr>
        <w:t xml:space="preserve">三、投标文件的编制</w:t>
      </w:r>
      <w:bookmarkEnd w:id="80"/>
      <w:r/>
      <w:bookmarkEnd w:id="81"/>
      <w:r/>
      <w:bookmarkEnd w:id="82"/>
      <w:r/>
      <w:bookmarkEnd w:id="83"/>
      <w:r/>
      <w:bookmarkEnd w:id="84"/>
      <w:r>
        <w:rPr>
          <w:rFonts w:hint="eastAsia" w:ascii="Times New Roman" w:hAnsi="Times New Roman"/>
          <w:b/>
          <w:bCs/>
          <w:color w:val="000000"/>
          <w:sz w:val="32"/>
          <w:szCs w:val="32"/>
        </w:rPr>
      </w:r>
      <w:r/>
    </w:p>
    <w:p>
      <w:pPr>
        <w:pStyle w:val="924"/>
        <w:ind w:firstLine="560"/>
        <w:keepLines/>
        <w:keepNext/>
        <w:spacing w:line="400" w:lineRule="exact"/>
        <w:rPr>
          <w:rFonts w:hint="eastAsia" w:ascii="Arial" w:hAnsi="Arial" w:eastAsia="黑体" w:cs="Arial"/>
          <w:b/>
          <w:color w:val="000000"/>
          <w:sz w:val="28"/>
          <w:szCs w:val="28"/>
        </w:rPr>
        <w:outlineLvl w:val="3"/>
      </w:pPr>
      <w:r/>
      <w:bookmarkStart w:id="85" w:name="_Toc462564073"/>
      <w:r/>
      <w:bookmarkStart w:id="86" w:name="_Toc16938530"/>
      <w:r/>
      <w:bookmarkStart w:id="87" w:name="_Toc20823286"/>
      <w:r/>
      <w:bookmarkStart w:id="88"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5"/>
      <w:r/>
      <w:bookmarkEnd w:id="86"/>
      <w:r/>
      <w:bookmarkEnd w:id="87"/>
      <w:r/>
      <w:bookmarkEnd w:id="88"/>
      <w:r>
        <w:rPr>
          <w:rFonts w:hint="eastAsia" w:ascii="Arial" w:hAnsi="Arial" w:eastAsia="黑体" w:cs="Arial"/>
          <w:b/>
          <w:color w:val="000000"/>
          <w:sz w:val="28"/>
          <w:szCs w:val="28"/>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89" w:name="_Toc513029215"/>
      <w:r/>
      <w:bookmarkStart w:id="90" w:name="_Toc20823287"/>
      <w:r/>
      <w:bookmarkStart w:id="91" w:name="_Toc462564074"/>
      <w:r/>
      <w:bookmarkStart w:id="92"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9"/>
      <w:r/>
      <w:bookmarkEnd w:id="90"/>
      <w:r/>
      <w:bookmarkEnd w:id="91"/>
      <w:r/>
      <w:bookmarkEnd w:id="92"/>
      <w:r>
        <w:rPr>
          <w:rFonts w:hint="eastAsia" w:ascii="Arial" w:hAnsi="Arial" w:eastAsia="黑体" w:cs="Arial"/>
          <w:color w:val="000000"/>
          <w:sz w:val="28"/>
          <w:szCs w:val="28"/>
        </w:rPr>
      </w:r>
      <w:r/>
    </w:p>
    <w:p>
      <w:pPr>
        <w:pStyle w:val="924"/>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24"/>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93" w:name="_Toc513029219"/>
      <w:r/>
      <w:bookmarkStart w:id="94" w:name="_Toc14577357"/>
      <w:r/>
      <w:bookmarkStart w:id="95" w:name="_Toc49090509"/>
      <w:r/>
      <w:bookmarkStart w:id="96" w:name="_Toc49090507"/>
      <w:r/>
      <w:bookmarkStart w:id="97" w:name="_Toc14577354"/>
      <w:r/>
      <w:bookmarkStart w:id="98" w:name="_Toc513029216"/>
      <w:r/>
      <w:bookmarkStart w:id="99" w:name="_Toc49090508"/>
      <w:r/>
      <w:bookmarkStart w:id="100" w:name="_Toc14577355"/>
      <w:r/>
      <w:bookmarkStart w:id="101" w:name="_Hlt26668975"/>
      <w:r/>
      <w:bookmarkEnd w:id="101"/>
      <w:r/>
      <w:bookmarkStart w:id="102" w:name="_Hlt26954838"/>
      <w:r/>
      <w:bookmarkEnd w:id="102"/>
      <w:r/>
      <w:bookmarkStart w:id="103" w:name="_Hlt26670360"/>
      <w:r/>
      <w:bookmarkEnd w:id="10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924"/>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24"/>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4" w:name="_Hlt26954840"/>
      <w:r/>
      <w:bookmarkEnd w:id="104"/>
      <w:r>
        <w:rPr>
          <w:rFonts w:hint="eastAsia" w:ascii="宋体" w:hAnsi="宋体"/>
          <w:sz w:val="24"/>
          <w:szCs w:val="21"/>
        </w:rPr>
        <w:t xml:space="preserve">标人按照招标文件规定格式填报投标分项报价表</w:t>
      </w:r>
      <w:bookmarkStart w:id="105" w:name="_Hlt26670399"/>
      <w:r/>
      <w:bookmarkEnd w:id="105"/>
      <w:r>
        <w:rPr>
          <w:rFonts w:hint="eastAsia" w:ascii="宋体" w:hAnsi="宋体"/>
          <w:sz w:val="24"/>
          <w:szCs w:val="21"/>
        </w:rPr>
        <w:t xml:space="preserve">。</w:t>
      </w:r>
      <w:r>
        <w:rPr>
          <w:rFonts w:hint="eastAsia" w:ascii="宋体" w:hAnsi="宋体"/>
          <w:bCs/>
          <w:sz w:val="24"/>
          <w:szCs w:val="21"/>
        </w:rPr>
      </w:r>
      <w:r/>
    </w:p>
    <w:p>
      <w:pPr>
        <w:pStyle w:val="924"/>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24"/>
        <w:ind w:firstLine="420"/>
        <w:keepLines/>
        <w:keepNext/>
        <w:spacing w:line="400" w:lineRule="exact"/>
        <w:rPr>
          <w:rFonts w:hint="eastAsia" w:ascii="Arial" w:hAnsi="Arial" w:eastAsia="黑体" w:cs="Arial"/>
          <w:sz w:val="28"/>
          <w:szCs w:val="28"/>
        </w:rPr>
        <w:outlineLvl w:val="3"/>
      </w:pPr>
      <w:r/>
      <w:bookmarkStart w:id="106" w:name="_Hlt26670486"/>
      <w:r/>
      <w:bookmarkEnd w:id="106"/>
      <w:r/>
      <w:bookmarkStart w:id="107" w:name="_Hlt26954731"/>
      <w:r/>
      <w:bookmarkEnd w:id="107"/>
      <w:r/>
      <w:bookmarkStart w:id="108" w:name="_Hlt26670482"/>
      <w:r/>
      <w:bookmarkEnd w:id="108"/>
      <w:r/>
      <w:bookmarkStart w:id="109" w:name="_Hlt26954848"/>
      <w:r/>
      <w:bookmarkEnd w:id="109"/>
      <w:r/>
      <w:bookmarkStart w:id="110" w:name="_Hlt26954846"/>
      <w:r/>
      <w:bookmarkEnd w:id="110"/>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24"/>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24"/>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2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11" w:name="_Toc49090510"/>
      <w:r/>
      <w:bookmarkStart w:id="112"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End w:id="111"/>
      <w:r/>
      <w:bookmarkEnd w:id="112"/>
      <w:r/>
      <w:bookmarkStart w:id="113" w:name="_Toc49090511"/>
      <w:r/>
      <w:bookmarkStart w:id="114"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3"/>
      <w:r/>
      <w:bookmarkEnd w:id="114"/>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24"/>
        <w:keepLines/>
        <w:keepNext/>
        <w:spacing w:before="156" w:after="156" w:line="400" w:lineRule="exact"/>
        <w:rPr>
          <w:rFonts w:hint="eastAsia" w:ascii="Times New Roman" w:hAnsi="Times New Roman"/>
          <w:b/>
          <w:bCs/>
          <w:color w:val="000000"/>
          <w:sz w:val="32"/>
          <w:szCs w:val="32"/>
        </w:rPr>
        <w:outlineLvl w:val="2"/>
      </w:pPr>
      <w:r/>
      <w:bookmarkStart w:id="115" w:name="_Hlt26954739"/>
      <w:r/>
      <w:bookmarkEnd w:id="115"/>
      <w:r/>
      <w:bookmarkStart w:id="116" w:name="_Hlt26954852"/>
      <w:r/>
      <w:bookmarkEnd w:id="116"/>
      <w:r/>
      <w:bookmarkStart w:id="117" w:name="_Toc20823296"/>
      <w:r/>
      <w:bookmarkStart w:id="118" w:name="_Toc16938540"/>
      <w:r/>
      <w:bookmarkStart w:id="119" w:name="_Toc120614217"/>
      <w:r/>
      <w:bookmarkStart w:id="120" w:name="_Toc513029224"/>
      <w:r>
        <w:rPr>
          <w:rFonts w:hint="eastAsia" w:ascii="Times New Roman" w:hAnsi="Times New Roman"/>
          <w:b/>
          <w:bCs/>
          <w:color w:val="000000"/>
          <w:sz w:val="32"/>
          <w:szCs w:val="32"/>
        </w:rPr>
        <w:t xml:space="preserve">四、投标文件的递交</w:t>
      </w:r>
      <w:bookmarkEnd w:id="117"/>
      <w:r/>
      <w:bookmarkEnd w:id="118"/>
      <w:r/>
      <w:bookmarkEnd w:id="119"/>
      <w:r/>
      <w:bookmarkEnd w:id="120"/>
      <w:r>
        <w:rPr>
          <w:rFonts w:hint="eastAsia" w:ascii="Times New Roman" w:hAnsi="Times New Roman"/>
          <w:b/>
          <w:bCs/>
          <w:color w:val="000000"/>
          <w:sz w:val="32"/>
          <w:szCs w:val="32"/>
        </w:rPr>
      </w:r>
      <w:r/>
    </w:p>
    <w:p>
      <w:pPr>
        <w:pStyle w:val="924"/>
        <w:ind w:firstLine="420"/>
        <w:keepLines/>
        <w:keepNext/>
        <w:spacing w:line="400" w:lineRule="exact"/>
        <w:rPr>
          <w:rFonts w:hint="eastAsia" w:ascii="黑体" w:hAnsi="Arial" w:eastAsia="黑体" w:cs="Arial"/>
          <w:color w:val="000000"/>
          <w:sz w:val="28"/>
          <w:szCs w:val="28"/>
        </w:rPr>
        <w:outlineLvl w:val="3"/>
      </w:pPr>
      <w:r/>
      <w:bookmarkStart w:id="121" w:name="_Toc20823297"/>
      <w:r/>
      <w:bookmarkStart w:id="122" w:name="_Toc16938541"/>
      <w:r/>
      <w:bookmarkStart w:id="123" w:name="_Toc513029225"/>
      <w:r/>
      <w:bookmarkStart w:id="124"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1"/>
      <w:r/>
      <w:bookmarkEnd w:id="122"/>
      <w:r/>
      <w:bookmarkEnd w:id="123"/>
      <w:r/>
      <w:bookmarkEnd w:id="124"/>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24"/>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24"/>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5" w:name="_Toc20823298"/>
      <w:r/>
      <w:bookmarkStart w:id="126" w:name="_Toc513029226"/>
      <w:r/>
      <w:bookmarkStart w:id="127" w:name="_Toc16938542"/>
      <w:r>
        <w:rPr>
          <w:rFonts w:ascii="宋体" w:hAnsi="宋体"/>
          <w:bCs/>
          <w:color w:val="000000"/>
          <w:sz w:val="24"/>
          <w:szCs w:val="21"/>
        </w:rPr>
      </w:r>
      <w:r/>
    </w:p>
    <w:p>
      <w:pPr>
        <w:pStyle w:val="924"/>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5"/>
      <w:r/>
      <w:bookmarkEnd w:id="126"/>
      <w:r/>
      <w:bookmarkEnd w:id="127"/>
      <w:r>
        <w:rPr>
          <w:rFonts w:hint="eastAsia" w:ascii="宋体" w:hAnsi="宋体" w:eastAsia="黑体" w:cs="Arial"/>
          <w:bCs/>
          <w:color w:val="000000"/>
          <w:sz w:val="24"/>
          <w:szCs w:val="28"/>
        </w:rPr>
      </w:r>
      <w:r/>
    </w:p>
    <w:p>
      <w:pPr>
        <w:pStyle w:val="92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28" w:name="_Toc513029227"/>
      <w:r/>
      <w:bookmarkStart w:id="129" w:name="_Toc20823299"/>
      <w:r/>
      <w:bookmarkStart w:id="130"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8"/>
      <w:r/>
      <w:bookmarkEnd w:id="129"/>
      <w:r/>
      <w:bookmarkEnd w:id="130"/>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31" w:name="_Toc16938544"/>
      <w:r/>
      <w:bookmarkStart w:id="132" w:name="_Toc513029228"/>
      <w:r/>
      <w:bookmarkStart w:id="133"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1"/>
      <w:r/>
      <w:bookmarkEnd w:id="132"/>
      <w:r/>
      <w:bookmarkEnd w:id="133"/>
      <w:r>
        <w:rPr>
          <w:rFonts w:hint="eastAsia" w:ascii="Arial" w:hAnsi="Arial" w:eastAsia="黑体" w:cs="Arial"/>
          <w:color w:val="000000"/>
          <w:sz w:val="28"/>
          <w:szCs w:val="28"/>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24"/>
        <w:ind w:firstLine="480"/>
        <w:keepLines/>
        <w:keepNext/>
        <w:spacing w:before="156" w:after="156" w:line="400" w:lineRule="exact"/>
        <w:rPr>
          <w:rFonts w:hint="eastAsia" w:ascii="Times New Roman" w:hAnsi="Times New Roman"/>
          <w:b/>
          <w:bCs/>
          <w:color w:val="000000"/>
          <w:sz w:val="32"/>
          <w:szCs w:val="32"/>
        </w:rPr>
        <w:outlineLvl w:val="2"/>
      </w:pPr>
      <w:r/>
      <w:bookmarkStart w:id="134" w:name="_Toc16938545"/>
      <w:r/>
      <w:bookmarkStart w:id="135" w:name="_Toc513029229"/>
      <w:r/>
      <w:bookmarkStart w:id="136" w:name="_Toc20823301"/>
      <w:r/>
      <w:bookmarkStart w:id="137" w:name="_Toc120614218"/>
      <w:r>
        <w:rPr>
          <w:rFonts w:hint="eastAsia" w:ascii="Times New Roman" w:hAnsi="Times New Roman"/>
          <w:b/>
          <w:bCs/>
          <w:color w:val="000000"/>
          <w:sz w:val="32"/>
          <w:szCs w:val="32"/>
        </w:rPr>
        <w:t xml:space="preserve">五、开标与评标</w:t>
      </w:r>
      <w:bookmarkEnd w:id="134"/>
      <w:r/>
      <w:bookmarkEnd w:id="135"/>
      <w:r/>
      <w:bookmarkEnd w:id="136"/>
      <w:r/>
      <w:bookmarkEnd w:id="137"/>
      <w:r>
        <w:rPr>
          <w:rFonts w:hint="eastAsia" w:ascii="Times New Roman" w:hAnsi="Times New Roman"/>
          <w:b/>
          <w:bCs/>
          <w:color w:val="000000"/>
          <w:sz w:val="32"/>
          <w:szCs w:val="32"/>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38" w:name="_Toc513029230"/>
      <w:r/>
      <w:bookmarkStart w:id="139" w:name="_Toc16938546"/>
      <w:r/>
      <w:bookmarkStart w:id="140"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8"/>
      <w:r/>
      <w:bookmarkEnd w:id="139"/>
      <w:r/>
      <w:bookmarkEnd w:id="140"/>
      <w:r>
        <w:rPr>
          <w:rFonts w:hint="eastAsia" w:ascii="Arial" w:hAnsi="Arial" w:eastAsia="黑体" w:cs="Arial"/>
          <w:color w:val="000000"/>
          <w:sz w:val="28"/>
          <w:szCs w:val="28"/>
        </w:rPr>
      </w:r>
      <w:r/>
    </w:p>
    <w:p>
      <w:pPr>
        <w:pStyle w:val="924"/>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24"/>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24"/>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24"/>
        <w:ind w:firstLine="420"/>
        <w:keepLines/>
        <w:keepNext/>
        <w:spacing w:line="400" w:lineRule="exact"/>
        <w:rPr>
          <w:rFonts w:hint="eastAsia" w:ascii="Arial" w:hAnsi="Arial" w:eastAsia="黑体" w:cs="Arial"/>
          <w:sz w:val="28"/>
          <w:szCs w:val="28"/>
        </w:rPr>
        <w:outlineLvl w:val="3"/>
      </w:pPr>
      <w:r/>
      <w:bookmarkStart w:id="141" w:name="_Toc16938547"/>
      <w:r/>
      <w:bookmarkStart w:id="142" w:name="_Toc513029231"/>
      <w:r/>
      <w:bookmarkStart w:id="143"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2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2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2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24"/>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bookmarkEnd w:id="141"/>
      <w:r/>
      <w:bookmarkEnd w:id="142"/>
      <w:r/>
      <w:bookmarkEnd w:id="143"/>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bookmarkStart w:id="144" w:name="_Toc16938548"/>
      <w:r/>
      <w:bookmarkStart w:id="145" w:name="_Toc513029232"/>
      <w:r/>
      <w:bookmarkStart w:id="146"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4"/>
      <w:r/>
      <w:bookmarkEnd w:id="145"/>
      <w:r/>
      <w:bookmarkEnd w:id="146"/>
      <w:r>
        <w:rPr>
          <w:rFonts w:hint="eastAsia" w:ascii="Arial" w:hAnsi="Arial" w:eastAsia="黑体" w:cs="Arial"/>
          <w:color w:val="000000"/>
          <w:sz w:val="28"/>
          <w:szCs w:val="28"/>
        </w:rPr>
      </w:r>
      <w:r/>
    </w:p>
    <w:p>
      <w:pPr>
        <w:pStyle w:val="924"/>
        <w:ind w:firstLine="480"/>
        <w:spacing w:line="400" w:lineRule="exact"/>
        <w:rPr>
          <w:rFonts w:ascii="宋体" w:hAnsi="宋体"/>
          <w:color w:val="000000"/>
          <w:sz w:val="24"/>
          <w:szCs w:val="24"/>
        </w:rPr>
      </w:pPr>
      <w:r/>
      <w:bookmarkStart w:id="147" w:name="_Toc16938549"/>
      <w:r/>
      <w:bookmarkStart w:id="148" w:name="_Toc20823305"/>
      <w:r/>
      <w:bookmarkStart w:id="149"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24"/>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7"/>
      <w:r/>
      <w:bookmarkEnd w:id="148"/>
      <w:r/>
      <w:bookmarkEnd w:id="149"/>
      <w:r>
        <w:rPr>
          <w:rFonts w:hint="eastAsia" w:ascii="Arial" w:hAnsi="Arial" w:eastAsia="黑体" w:cs="Arial"/>
          <w:color w:val="000000"/>
          <w:sz w:val="28"/>
          <w:szCs w:val="28"/>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24"/>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24"/>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24"/>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24"/>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4"/>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4"/>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24"/>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方正仿宋_GBK" w:hAnsi="方正仿宋_GBK" w:eastAsia="方正仿宋_GBK" w:cs="方正仿宋_GBK"/>
          <w:bCs/>
          <w:sz w:val="32"/>
          <w:szCs w:val="32"/>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25.8 异常低价投标审查</w:t>
      </w:r>
      <w:r>
        <w:rPr>
          <w:rFonts w:hint="eastAsia" w:ascii="宋体" w:hAnsi="宋体" w:eastAsia="宋体" w:cs="宋体"/>
          <w:bCs/>
          <w:sz w:val="24"/>
          <w:szCs w:val="24"/>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25.8.1 评标过程中出现下列情形之一的，评标委员会应当启动异常低价投标审查程序：</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w:t>
      </w: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rPr>
        <w:t xml:space="preserve">%的，即投标报价&lt;全部通过符合性审查供应商投标报价平均值×</w:t>
      </w: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w:t>
      </w: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rPr>
        <w:t xml:space="preserve">%的，即投标报价&lt;通过符合性审查的次低报价供应商投标报价×</w:t>
      </w: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）投标报价低于采购项目最高限价</w:t>
      </w: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lang w:eastAsia="zh-CN"/>
        </w:rPr>
        <w:t xml:space="preserve">%的，即投标报价&lt;采购项目最高限价×</w:t>
      </w:r>
      <w:r>
        <w:rPr>
          <w:rFonts w:hint="eastAsia" w:ascii="宋体" w:hAnsi="宋体" w:eastAsia="宋体" w:cs="宋体"/>
          <w:bCs/>
          <w:sz w:val="24"/>
          <w:szCs w:val="24"/>
          <w:highlight w:val="none"/>
          <w:lang w:val="en-US" w:eastAsia="zh-CN"/>
        </w:rPr>
        <w:t xml:space="preserve">65</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评标</w:t>
      </w:r>
      <w:r>
        <w:rPr>
          <w:rFonts w:hint="eastAsia" w:ascii="宋体" w:hAnsi="宋体" w:eastAsia="宋体" w:cs="宋体"/>
          <w:bCs/>
          <w:sz w:val="24"/>
          <w:szCs w:val="24"/>
          <w:highlight w:val="none"/>
        </w:rPr>
        <w:t xml:space="preserve">委员会基于专业判断，认为供应商报价过低，有可能影响产品质量或者不能诚信履约的其他情形。</w:t>
      </w:r>
      <w:r>
        <w:rPr>
          <w:rFonts w:hint="eastAsia" w:ascii="宋体" w:hAnsi="宋体" w:eastAsia="宋体" w:cs="宋体"/>
          <w:bCs/>
          <w:sz w:val="24"/>
          <w:szCs w:val="24"/>
          <w:highlight w:val="none"/>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Cs/>
          <w:sz w:val="24"/>
          <w:szCs w:val="24"/>
          <w:lang w:val="en-US" w:eastAsia="zh-CN"/>
        </w:rPr>
      </w:r>
      <w:r/>
    </w:p>
    <w:p>
      <w:pPr>
        <w:pStyle w:val="924"/>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bCs/>
          <w:sz w:val="24"/>
          <w:szCs w:val="24"/>
          <w:lang w:val="en-US" w:eastAsia="zh-CN"/>
        </w:rPr>
      </w:r>
      <w:r/>
    </w:p>
    <w:p>
      <w:pPr>
        <w:pStyle w:val="924"/>
        <w:ind w:firstLine="480"/>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bookmarkEnd w:id="51"/>
      <w:r/>
      <w:bookmarkEnd w:id="52"/>
      <w:r/>
      <w:bookmarkEnd w:id="53"/>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无效投标条款和废标条款</w:t>
      </w:r>
      <w:bookmarkStart w:id="150" w:name="_Toc20823307"/>
      <w:r/>
      <w:bookmarkStart w:id="151" w:name="_Toc513029235"/>
      <w:r/>
      <w:bookmarkStart w:id="152" w:name="_Toc16938551"/>
      <w:r>
        <w:rPr>
          <w:rFonts w:hint="eastAsia" w:ascii="宋体" w:hAnsi="宋体" w:eastAsia="宋体" w:cs="宋体"/>
          <w:sz w:val="24"/>
          <w:szCs w:val="24"/>
        </w:rPr>
      </w:r>
      <w:r/>
    </w:p>
    <w:p>
      <w:pPr>
        <w:pStyle w:val="924"/>
        <w:ind w:firstLine="480"/>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924"/>
        <w:ind w:firstLine="48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rPr>
          <w:rFonts w:hint="eastAsia" w:ascii="宋体" w:hAnsi="宋体" w:eastAsia="宋体" w:cs="宋体"/>
          <w:bCs/>
          <w:i/>
          <w:color w:val="000000"/>
          <w:sz w:val="24"/>
          <w:szCs w:val="24"/>
          <w:u w:val="single"/>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rPr>
          <w:rFonts w:hint="eastAsia" w:ascii="宋体" w:hAnsi="宋体" w:eastAsia="宋体" w:cs="宋体"/>
          <w:sz w:val="24"/>
          <w:szCs w:val="24"/>
        </w:rPr>
      </w:r>
      <w:r/>
    </w:p>
    <w:p>
      <w:pPr>
        <w:pStyle w:val="924"/>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.1.12 投标文件未按照招标文件要求加盖CA电子公章的。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26.1.13 投标人所投标产品不符合招标文件中所列国家强制性标准的。</w:t>
      </w:r>
      <w:r>
        <w:rPr>
          <w:rFonts w:hint="eastAsia" w:ascii="宋体" w:hAnsi="宋体" w:eastAsia="宋体" w:cs="宋体"/>
          <w:sz w:val="24"/>
          <w:szCs w:val="24"/>
          <w:lang w:val="en-US" w:eastAsia="zh-CN"/>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.2.1符合专业条件的供应商或者对招标文件作实质响应的供应商不足三家的。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924"/>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924"/>
        <w:ind w:firstLine="480"/>
        <w:keepLines/>
        <w:keepNext/>
        <w:spacing w:before="156" w:after="156" w:line="400" w:lineRule="exact"/>
        <w:rPr>
          <w:rFonts w:hint="eastAsia" w:ascii="Times New Roman" w:hAnsi="Times New Roman"/>
          <w:b/>
          <w:bCs/>
          <w:color w:val="000000"/>
          <w:sz w:val="32"/>
          <w:szCs w:val="32"/>
        </w:rPr>
        <w:outlineLvl w:val="2"/>
      </w:pPr>
      <w:r/>
      <w:bookmarkEnd w:id="150"/>
      <w:r/>
      <w:bookmarkEnd w:id="151"/>
      <w:r/>
      <w:bookmarkEnd w:id="152"/>
      <w:r/>
      <w:bookmarkStart w:id="153" w:name="_Toc120614219"/>
      <w:r>
        <w:rPr>
          <w:rFonts w:hint="eastAsia" w:ascii="Times New Roman" w:hAnsi="Times New Roman"/>
          <w:b/>
          <w:bCs/>
          <w:color w:val="000000"/>
          <w:sz w:val="32"/>
          <w:szCs w:val="32"/>
        </w:rPr>
        <w:t xml:space="preserve">六、定标</w:t>
      </w:r>
      <w:bookmarkEnd w:id="153"/>
      <w:r>
        <w:rPr>
          <w:rFonts w:hint="eastAsia" w:ascii="Times New Roman" w:hAnsi="Times New Roman"/>
          <w:b/>
          <w:bCs/>
          <w:color w:val="000000"/>
          <w:sz w:val="32"/>
          <w:szCs w:val="32"/>
        </w:rPr>
      </w:r>
      <w:r/>
    </w:p>
    <w:p>
      <w:pPr>
        <w:pStyle w:val="924"/>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24"/>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2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24"/>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24"/>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2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24"/>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24"/>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4"/>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sz w:val="24"/>
          <w:szCs w:val="24"/>
        </w:rPr>
      </w:r>
      <w:r/>
    </w:p>
    <w:p>
      <w:pPr>
        <w:pStyle w:val="924"/>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highlight w:val="none"/>
        </w:rPr>
        <w:t xml:space="preserve">及采购中心</w:t>
      </w:r>
      <w:r>
        <w:rPr>
          <w:rFonts w:hint="eastAsia" w:ascii="宋体" w:hAnsi="宋体"/>
          <w:sz w:val="24"/>
          <w:szCs w:val="24"/>
        </w:rPr>
        <w:t xml:space="preserve">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24"/>
        <w:ind w:firstLine="480"/>
        <w:spacing w:line="400" w:lineRule="exact"/>
        <w:rPr>
          <w:rFonts w:hint="eastAsia" w:ascii="方正仿宋_GBK" w:hAnsi="方正仿宋_GBK" w:eastAsia="方正仿宋_GBK" w:cs="方正仿宋_GBK"/>
          <w:b w:val="0"/>
          <w:bCs/>
          <w:sz w:val="32"/>
          <w:szCs w:val="32"/>
          <w:highlight w:val="yellow"/>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方正仿宋_GBK" w:hAnsi="方正仿宋_GBK" w:eastAsia="方正仿宋_GBK" w:cs="方正仿宋_GBK"/>
          <w:b w:val="0"/>
          <w:bCs/>
          <w:sz w:val="32"/>
          <w:szCs w:val="32"/>
          <w:highlight w:val="yellow"/>
        </w:rPr>
      </w:r>
      <w:r/>
    </w:p>
    <w:p>
      <w:pPr>
        <w:pStyle w:val="924"/>
        <w:ind w:firstLine="480"/>
        <w:spacing w:line="400" w:lineRule="exact"/>
        <w:rPr>
          <w:rFonts w:hint="eastAsia" w:ascii="宋体" w:hAnsi="宋体"/>
          <w:color w:val="000000"/>
          <w:sz w:val="24"/>
          <w:szCs w:val="24"/>
        </w:rPr>
      </w:pPr>
      <w:r/>
      <w:bookmarkStart w:id="158" w:name="_Toc16938558"/>
      <w:r/>
      <w:bookmarkStart w:id="159" w:name="_Toc120614221"/>
      <w:r/>
      <w:bookmarkStart w:id="160" w:name="_Toc513029242"/>
      <w:r/>
      <w:bookmarkStart w:id="161" w:name="_Toc479757207"/>
      <w:r/>
      <w:bookmarkStart w:id="162" w:name="_Toc20823314"/>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24"/>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24"/>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24"/>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24"/>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24"/>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24"/>
        <w:keepLines/>
        <w:keepNext/>
        <w:spacing w:before="156" w:after="156" w:line="400" w:lineRule="exact"/>
        <w:rPr>
          <w:rFonts w:hint="eastAsia" w:ascii="Times New Roman" w:hAnsi="Times New Roman"/>
          <w:b/>
          <w:bCs/>
          <w:color w:val="000000"/>
          <w:sz w:val="32"/>
          <w:szCs w:val="32"/>
        </w:rPr>
        <w:outlineLvl w:val="2"/>
      </w:pPr>
      <w:r/>
      <w:bookmarkStart w:id="163" w:name="_Toc120614220"/>
      <w:r/>
      <w:bookmarkStart w:id="164" w:name="_Toc16938552"/>
      <w:r/>
      <w:bookmarkStart w:id="165" w:name="_Toc513029236"/>
      <w:r/>
      <w:bookmarkStart w:id="166" w:name="_Toc20823308"/>
      <w:r>
        <w:rPr>
          <w:rFonts w:hint="eastAsia" w:ascii="Times New Roman" w:hAnsi="Times New Roman"/>
          <w:b/>
          <w:bCs/>
          <w:color w:val="000000"/>
          <w:sz w:val="32"/>
          <w:szCs w:val="32"/>
        </w:rPr>
        <w:t xml:space="preserve">七、授予合同</w:t>
      </w:r>
      <w:bookmarkEnd w:id="163"/>
      <w:r>
        <w:rPr>
          <w:rFonts w:hint="eastAsia" w:ascii="Times New Roman" w:hAnsi="Times New Roman"/>
          <w:b/>
          <w:bCs/>
          <w:color w:val="000000"/>
          <w:sz w:val="32"/>
          <w:szCs w:val="32"/>
        </w:rPr>
      </w:r>
      <w:r/>
    </w:p>
    <w:p>
      <w:pPr>
        <w:pStyle w:val="924"/>
        <w:ind w:firstLine="600"/>
        <w:keepLines/>
        <w:keepNext/>
        <w:spacing w:line="400" w:lineRule="exact"/>
        <w:rPr>
          <w:rFonts w:hint="eastAsia" w:ascii="黑体" w:hAnsi="宋体" w:eastAsia="黑体"/>
          <w:bCs/>
          <w:color w:val="000000"/>
          <w:sz w:val="30"/>
          <w:szCs w:val="30"/>
        </w:rPr>
        <w:outlineLvl w:val="3"/>
      </w:pPr>
      <w:r/>
      <w:bookmarkEnd w:id="164"/>
      <w:r/>
      <w:bookmarkEnd w:id="165"/>
      <w:r/>
      <w:bookmarkEnd w:id="166"/>
      <w:r/>
      <w:bookmarkStart w:id="167" w:name="_Toc16938553"/>
      <w:r/>
      <w:bookmarkStart w:id="168" w:name="_Toc513029237"/>
      <w:r/>
      <w:bookmarkStart w:id="169"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2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2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2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24"/>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2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24"/>
        <w:ind w:firstLine="600"/>
        <w:keepLines/>
        <w:keepNext/>
        <w:spacing w:line="400" w:lineRule="exact"/>
        <w:rPr>
          <w:rFonts w:ascii="黑体" w:hAnsi="宋体" w:eastAsia="黑体"/>
          <w:bCs/>
          <w:color w:val="000000"/>
          <w:sz w:val="30"/>
          <w:szCs w:val="30"/>
        </w:rPr>
        <w:outlineLvl w:val="3"/>
      </w:pPr>
      <w:r/>
      <w:bookmarkEnd w:id="167"/>
      <w:r/>
      <w:bookmarkEnd w:id="168"/>
      <w:r/>
      <w:bookmarkEnd w:id="16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24"/>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24"/>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924"/>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2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24"/>
        <w:ind w:firstLine="2640"/>
        <w:jc w:val="left"/>
        <w:keepNext/>
        <w:rPr>
          <w:rFonts w:hint="eastAsia" w:ascii="黑体" w:hAnsi="Times New Roman" w:eastAsia="黑体"/>
          <w:bCs/>
          <w:color w:val="000000"/>
          <w:sz w:val="44"/>
          <w:szCs w:val="28"/>
        </w:rPr>
        <w:outlineLvl w:val="0"/>
      </w:pPr>
      <w:r/>
      <w:bookmarkEnd w:id="158"/>
      <w:r/>
      <w:bookmarkEnd w:id="159"/>
      <w:r/>
      <w:bookmarkEnd w:id="160"/>
      <w:r/>
      <w:bookmarkEnd w:id="161"/>
      <w:r/>
      <w:bookmarkEnd w:id="162"/>
      <w:r/>
      <w:bookmarkStart w:id="170" w:name="_Hlt16619350"/>
      <w:r/>
      <w:bookmarkStart w:id="171" w:name="_Toc120614244"/>
      <w:r/>
      <w:bookmarkStart w:id="172" w:name="_Toc16938590"/>
      <w:r/>
      <w:bookmarkStart w:id="173" w:name="_Toc20823346"/>
      <w:r/>
      <w:bookmarkStart w:id="174" w:name="_Toc479757211"/>
      <w:r/>
      <w:bookmarkStart w:id="175" w:name="_Toc462564139"/>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第三章  合同文本</w:t>
      </w:r>
      <w:r>
        <w:rPr>
          <w:rFonts w:hint="eastAsia" w:ascii="黑体" w:hAnsi="Times New Roman" w:eastAsia="黑体"/>
          <w:bCs/>
          <w:color w:val="000000"/>
          <w:sz w:val="44"/>
          <w:szCs w:val="28"/>
        </w:rPr>
      </w:r>
      <w:r/>
    </w:p>
    <w:p>
      <w:pPr>
        <w:pStyle w:val="924"/>
        <w:spacing w:line="400" w:lineRule="exact"/>
        <w:rPr>
          <w:rFonts w:ascii="宋体" w:hAnsi="宋体"/>
          <w:bCs/>
          <w:color w:val="ff0000"/>
          <w:sz w:val="24"/>
          <w:szCs w:val="24"/>
          <w:highlight w:val="yellow"/>
        </w:rPr>
      </w:pPr>
      <w:r/>
      <w:bookmarkStart w:id="176" w:name="_Toc513029243"/>
      <w:r/>
      <w:bookmarkStart w:id="177" w:name="_Toc16938559"/>
      <w:r/>
      <w:bookmarkStart w:id="178" w:name="_Toc20823315"/>
      <w:r/>
      <w:bookmarkStart w:id="179" w:name="_Toc3995"/>
      <w:r>
        <w:rPr>
          <w:rFonts w:ascii="宋体" w:hAnsi="宋体"/>
          <w:bCs/>
          <w:color w:val="ff0000"/>
          <w:sz w:val="24"/>
          <w:szCs w:val="24"/>
          <w:highlight w:val="yellow"/>
        </w:rPr>
      </w:r>
      <w:r/>
    </w:p>
    <w:p>
      <w:pPr>
        <w:pStyle w:val="924"/>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89"/>
        <w:jc w:val="center"/>
        <w:rPr>
          <w:rFonts w:ascii="宋体" w:hAnsi="宋体" w:eastAsia="宋体" w:cs="宋体"/>
          <w:b/>
          <w:bCs/>
          <w:spacing w:val="-20"/>
          <w:sz w:val="32"/>
          <w:szCs w:val="32"/>
        </w:rPr>
      </w:pPr>
      <w:r/>
      <w:bookmarkEnd w:id="176"/>
      <w:r/>
      <w:bookmarkEnd w:id="177"/>
      <w:r/>
      <w:bookmarkEnd w:id="178"/>
      <w:r/>
      <w:bookmarkEnd w:id="179"/>
      <w:r>
        <w:rPr>
          <w:rFonts w:ascii="宋体" w:hAnsi="宋体" w:eastAsia="宋体" w:cs="宋体"/>
          <w:b/>
          <w:bCs/>
          <w:spacing w:val="-20"/>
          <w:sz w:val="32"/>
          <w:szCs w:val="32"/>
        </w:rPr>
      </w:r>
      <w:r/>
    </w:p>
    <w:p>
      <w:pPr>
        <w:pStyle w:val="98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8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8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24"/>
        <w:rPr>
          <w:rFonts w:ascii="宋体" w:hAnsi="宋体" w:cs="宋体"/>
          <w:b/>
          <w:bCs/>
          <w:spacing w:val="-20"/>
          <w:sz w:val="40"/>
          <w:szCs w:val="40"/>
        </w:rPr>
      </w:pPr>
      <w:r>
        <w:rPr>
          <w:rFonts w:ascii="宋体" w:hAnsi="宋体" w:cs="宋体"/>
          <w:b/>
          <w:bCs/>
          <w:spacing w:val="-20"/>
          <w:sz w:val="40"/>
          <w:szCs w:val="40"/>
        </w:rPr>
      </w:r>
      <w:r/>
    </w:p>
    <w:p>
      <w:pPr>
        <w:pStyle w:val="924"/>
        <w:rPr>
          <w:rFonts w:ascii="宋体" w:hAnsi="宋体" w:cs="宋体"/>
          <w:b/>
          <w:bCs/>
          <w:spacing w:val="-20"/>
          <w:sz w:val="40"/>
          <w:szCs w:val="40"/>
        </w:rPr>
      </w:pPr>
      <w:r>
        <w:rPr>
          <w:rFonts w:ascii="宋体" w:hAnsi="宋体" w:cs="宋体"/>
          <w:b/>
          <w:bCs/>
          <w:spacing w:val="-20"/>
          <w:sz w:val="40"/>
          <w:szCs w:val="40"/>
        </w:rPr>
      </w:r>
      <w:r/>
    </w:p>
    <w:p>
      <w:pPr>
        <w:pStyle w:val="924"/>
        <w:rPr>
          <w:rFonts w:ascii="宋体" w:hAnsi="宋体" w:cs="宋体"/>
          <w:b/>
          <w:bCs/>
          <w:spacing w:val="-20"/>
          <w:sz w:val="40"/>
          <w:szCs w:val="40"/>
        </w:rPr>
      </w:pPr>
      <w:r>
        <w:rPr>
          <w:rFonts w:ascii="宋体" w:hAnsi="宋体" w:cs="宋体"/>
          <w:b/>
          <w:bCs/>
          <w:spacing w:val="-20"/>
          <w:sz w:val="40"/>
          <w:szCs w:val="40"/>
        </w:rPr>
      </w:r>
      <w:r/>
    </w:p>
    <w:p>
      <w:pPr>
        <w:pStyle w:val="924"/>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24"/>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24"/>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24"/>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24"/>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24"/>
      </w:p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rPr>
          <w:rFonts w:eastAsia="黑体"/>
          <w:sz w:val="44"/>
          <w:szCs w:val="44"/>
        </w:rPr>
      </w:pPr>
      <w:r>
        <w:rPr>
          <w:rFonts w:eastAsia="黑体"/>
          <w:sz w:val="44"/>
          <w:szCs w:val="44"/>
        </w:rPr>
      </w:r>
      <w:r/>
    </w:p>
    <w:p>
      <w:pPr>
        <w:pStyle w:val="924"/>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2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24"/>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24"/>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24"/>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24"/>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2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2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24"/>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24"/>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24"/>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24"/>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24"/>
        <w:spacing w:line="400" w:lineRule="exact"/>
      </w:pPr>
      <w:r/>
      <w:r/>
    </w:p>
    <w:p>
      <w:pPr>
        <w:pStyle w:val="990"/>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90"/>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90"/>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90"/>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24"/>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24"/>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24"/>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24"/>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24"/>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09"/>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0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0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0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0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0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0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0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0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0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09"/>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24"/>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4"/>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4"/>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24"/>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24"/>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24"/>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24"/>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24"/>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24"/>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24"/>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24"/>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24"/>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0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24"/>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24"/>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24"/>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24"/>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24"/>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24"/>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24"/>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2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24"/>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24"/>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2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24"/>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0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0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24"/>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0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24"/>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24"/>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24"/>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24"/>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24"/>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24"/>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24"/>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24"/>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26"/>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2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24"/>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2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24"/>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24"/>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24"/>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24"/>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24"/>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0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0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24"/>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24"/>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24"/>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24"/>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24"/>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24"/>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24"/>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24"/>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24"/>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24"/>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24"/>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24"/>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24"/>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24"/>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0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24"/>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0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24"/>
        <w:numPr>
          <w:ilvl w:val="0"/>
          <w:numId w:val="4"/>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24"/>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4"/>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24"/>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1026"/>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2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24"/>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2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24"/>
              <w:jc w:val="center"/>
              <w:spacing w:line="300" w:lineRule="exact"/>
              <w:rPr>
                <w:szCs w:val="21"/>
              </w:rPr>
            </w:pPr>
            <w:r>
              <w:rPr>
                <w:szCs w:val="21"/>
              </w:rPr>
              <w:t xml:space="preserve">法定代表人</w:t>
            </w:r>
            <w:r>
              <w:rPr>
                <w:szCs w:val="21"/>
              </w:rPr>
            </w:r>
            <w:r/>
          </w:p>
          <w:p>
            <w:pPr>
              <w:pStyle w:val="92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法定代表人</w:t>
            </w:r>
            <w:r>
              <w:rPr>
                <w:szCs w:val="21"/>
              </w:rPr>
            </w:r>
            <w:r/>
          </w:p>
          <w:p>
            <w:pPr>
              <w:pStyle w:val="92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24"/>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24"/>
              <w:jc w:val="center"/>
              <w:spacing w:line="300" w:lineRule="exact"/>
              <w:rPr>
                <w:szCs w:val="21"/>
              </w:rPr>
            </w:pPr>
            <w:r>
              <w:rPr>
                <w:szCs w:val="21"/>
              </w:rPr>
            </w:r>
            <w:r/>
          </w:p>
        </w:tc>
        <w:tc>
          <w:tcPr>
            <w:tcW w:w="2413" w:type="dxa"/>
            <w:vAlign w:val="center"/>
            <w:vMerge w:val="continue"/>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24"/>
              <w:jc w:val="center"/>
              <w:spacing w:line="300" w:lineRule="exact"/>
              <w:rPr>
                <w:szCs w:val="21"/>
              </w:rPr>
            </w:pPr>
            <w:r>
              <w:rPr>
                <w:szCs w:val="21"/>
              </w:rPr>
            </w:r>
            <w:r/>
          </w:p>
        </w:tc>
        <w:tc>
          <w:tcPr>
            <w:tcW w:w="2413" w:type="dxa"/>
            <w:vAlign w:val="center"/>
            <w:textDirection w:val="lrTb"/>
            <w:noWrap w:val="false"/>
          </w:tcPr>
          <w:p>
            <w:pPr>
              <w:pStyle w:val="924"/>
              <w:jc w:val="center"/>
              <w:spacing w:line="300" w:lineRule="exact"/>
              <w:rPr>
                <w:szCs w:val="21"/>
              </w:rPr>
            </w:pPr>
            <w:r>
              <w:rPr>
                <w:szCs w:val="21"/>
              </w:rPr>
            </w:r>
            <w:r/>
          </w:p>
        </w:tc>
        <w:tc>
          <w:tcPr>
            <w:tcW w:w="1980" w:type="dxa"/>
            <w:vAlign w:val="center"/>
            <w:textDirection w:val="lrTb"/>
            <w:noWrap w:val="false"/>
          </w:tcPr>
          <w:p>
            <w:pPr>
              <w:pStyle w:val="924"/>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24"/>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9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2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2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2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2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2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2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2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2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2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2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24"/>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2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2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24"/>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2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24"/>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2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0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2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93"/>
        <w:ind w:firstLine="420"/>
        <w:jc w:val="left"/>
        <w:spacing w:line="400" w:lineRule="exact"/>
        <w:rPr>
          <w:rFonts w:hAnsi="宋体"/>
          <w:b/>
        </w:rPr>
      </w:pPr>
      <w:r>
        <w:rPr>
          <w:rFonts w:hint="eastAsia" w:hAnsi="宋体"/>
        </w:rPr>
        <w:t xml:space="preserve">8.1 质量标准</w:t>
      </w:r>
      <w:r>
        <w:rPr>
          <w:rFonts w:hAnsi="宋体"/>
          <w:b/>
        </w:rPr>
      </w:r>
      <w:r/>
    </w:p>
    <w:p>
      <w:pPr>
        <w:pStyle w:val="92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93"/>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2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2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2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2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24"/>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2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2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24"/>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2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24"/>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2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0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2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24"/>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2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2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2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24"/>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24"/>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0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2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24"/>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2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0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0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24"/>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2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24"/>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0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24"/>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2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2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2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24"/>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0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09"/>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2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0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0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24"/>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24"/>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24"/>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24"/>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2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24"/>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pPr>
            <w:r>
              <w:rPr>
                <w:rFonts w:hint="eastAsia" w:ascii="宋体" w:hAnsi="宋体"/>
                <w:szCs w:val="21"/>
              </w:rPr>
              <w:t xml:space="preserve">第5.4款</w:t>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24"/>
            </w:pPr>
            <w:r/>
            <w:r/>
          </w:p>
        </w:tc>
      </w:tr>
      <w:tr>
        <w:trPr>
          <w:trHeight w:val="667"/>
        </w:trPr>
        <w:tc>
          <w:tcPr>
            <w:tcW w:w="1607" w:type="dxa"/>
            <w:vAlign w:val="center"/>
            <w:vMerge w:val="continue"/>
            <w:textDirection w:val="lrTb"/>
            <w:noWrap w:val="false"/>
          </w:tcPr>
          <w:p>
            <w:pPr>
              <w:pStyle w:val="924"/>
              <w:jc w:val="center"/>
              <w:rPr>
                <w:rFonts w:ascii="宋体" w:hAnsi="宋体"/>
                <w:szCs w:val="21"/>
              </w:rPr>
            </w:pP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24"/>
            </w:pPr>
            <w:r/>
            <w:r/>
          </w:p>
        </w:tc>
      </w:tr>
      <w:tr>
        <w:trPr>
          <w:trHeight w:val="772"/>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24"/>
            </w:pPr>
            <w:r/>
            <w:r/>
          </w:p>
        </w:tc>
      </w:tr>
      <w:tr>
        <w:trPr>
          <w:trHeight w:val="667"/>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24"/>
            </w:p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2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24"/>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09"/>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4"/>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2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2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2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2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24"/>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24"/>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24"/>
              <w:jc w:val="center"/>
              <w:rPr>
                <w:rFonts w:ascii="宋体" w:hAnsi="宋体"/>
                <w:szCs w:val="21"/>
              </w:rPr>
            </w:pPr>
            <w:r>
              <w:rPr>
                <w:rFonts w:hint="eastAsia" w:ascii="宋体" w:hAnsi="宋体"/>
                <w:szCs w:val="21"/>
              </w:rPr>
              <w:t xml:space="preserve">第二节</w:t>
            </w:r>
            <w:r>
              <w:rPr>
                <w:rFonts w:ascii="宋体" w:hAnsi="宋体"/>
                <w:szCs w:val="21"/>
              </w:rPr>
            </w:r>
            <w:r/>
          </w:p>
          <w:p>
            <w:pPr>
              <w:pStyle w:val="92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24"/>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24"/>
              <w:jc w:val="left"/>
              <w:rPr>
                <w:rFonts w:ascii="宋体" w:hAnsi="宋体"/>
                <w:szCs w:val="21"/>
              </w:rPr>
            </w:pPr>
            <w:r>
              <w:rPr>
                <w:rFonts w:ascii="宋体" w:hAnsi="宋体"/>
                <w:szCs w:val="21"/>
              </w:rPr>
            </w:r>
            <w:r/>
          </w:p>
        </w:tc>
      </w:tr>
    </w:tbl>
    <w:p>
      <w:pPr>
        <w:pStyle w:val="98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8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24"/>
        <w:jc w:val="center"/>
        <w:spacing w:before="120" w:after="120" w:line="0" w:lineRule="atLeast"/>
        <w:rPr>
          <w:rFonts w:hint="eastAsia" w:ascii="宋体" w:hAnsi="宋体" w:cs="Courier New"/>
          <w:color w:val="000000"/>
          <w:sz w:val="24"/>
          <w:szCs w:val="24"/>
        </w:rPr>
      </w:pPr>
      <w:r/>
      <w:bookmarkEnd w:id="170"/>
      <w:r/>
      <w:bookmarkEnd w:id="171"/>
      <w:r/>
      <w:bookmarkEnd w:id="172"/>
      <w:r/>
      <w:bookmarkEnd w:id="173"/>
      <w:r/>
      <w:bookmarkStart w:id="180" w:name="_Toc49090575"/>
      <w:r/>
      <w:bookmarkStart w:id="181" w:name="_Toc26554093"/>
      <w:r/>
      <w:bookmarkStart w:id="182" w:name="_Toc120614281"/>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924"/>
        <w:spacing w:line="0" w:lineRule="atLeast"/>
        <w:rPr>
          <w:rFonts w:ascii="宋体" w:hAnsi="宋体"/>
          <w:color w:val="000000"/>
          <w:sz w:val="24"/>
          <w:szCs w:val="24"/>
        </w:rPr>
      </w:pPr>
      <w:r>
        <w:rPr>
          <w:rFonts w:ascii="宋体" w:hAnsi="宋体"/>
          <w:color w:val="000000"/>
          <w:sz w:val="24"/>
          <w:szCs w:val="24"/>
        </w:rPr>
      </w:r>
      <w:r/>
    </w:p>
    <w:p>
      <w:pPr>
        <w:pStyle w:val="924"/>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4296"/>
        <w:gridCol w:w="1421"/>
        <w:gridCol w:w="1267"/>
        <w:gridCol w:w="2017"/>
      </w:tblGrid>
      <w:tr>
        <w:trPr>
          <w:trHeight w:val="538"/>
        </w:trPr>
        <w:tc>
          <w:tcPr>
            <w:shd w:val="solid" w:color="d8d8d8" w:fill="auto"/>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solid" w:color="d8d8d8" w:fill="auto"/>
            <w:tcW w:w="4296"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产品清单</w:t>
            </w:r>
            <w:r>
              <w:rPr>
                <w:rFonts w:hint="eastAsia" w:ascii="宋体" w:hAnsi="宋体" w:eastAsia="宋体" w:cs="宋体"/>
                <w:sz w:val="24"/>
                <w:szCs w:val="24"/>
              </w:rPr>
            </w:r>
            <w:r/>
          </w:p>
        </w:tc>
        <w:tc>
          <w:tcPr>
            <w:shd w:val="solid" w:color="d8d8d8" w:fill="auto"/>
            <w:tcW w:w="1421"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shd w:val="solid" w:color="d8d8d8" w:fill="auto"/>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solid" w:color="d8d8d8" w:fill="auto"/>
            <w:tcW w:w="201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采购标的所属行业</w:t>
            </w:r>
            <w:r>
              <w:rPr>
                <w:rFonts w:hint="eastAsia" w:ascii="宋体" w:hAnsi="宋体" w:eastAsia="宋体" w:cs="宋体"/>
                <w:sz w:val="24"/>
                <w:szCs w:val="24"/>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一体化云台摄像机</w:t>
            </w:r>
            <w:r>
              <w:rPr>
                <w:rFonts w:hint="eastAsia" w:ascii="宋体" w:hAnsi="宋体" w:eastAsia="宋体" w:cs="宋体"/>
                <w:sz w:val="24"/>
                <w:szCs w:val="24"/>
              </w:rPr>
            </w:r>
            <w:r/>
          </w:p>
        </w:tc>
        <w:tc>
          <w:tcPr>
            <w:tcW w:w="1421" w:type="dxa"/>
            <w:vAlign w:val="center"/>
            <w:textDirection w:val="lrTb"/>
            <w:noWrap w:val="false"/>
          </w:tcPr>
          <w:p>
            <w:pPr>
              <w:pStyle w:val="924"/>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267" w:type="dxa"/>
            <w:vAlign w:val="center"/>
            <w:textDirection w:val="lrTb"/>
            <w:noWrap w:val="false"/>
          </w:tcPr>
          <w:p>
            <w:pPr>
              <w:pStyle w:val="924"/>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lang w:eastAsia="zh-CN"/>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lang w:val="zh-CN"/>
              </w:rPr>
            </w:pPr>
            <w:r>
              <w:rPr>
                <w:rFonts w:hint="eastAsia" w:ascii="宋体" w:hAnsi="宋体" w:eastAsia="宋体" w:cs="宋体"/>
                <w:sz w:val="24"/>
                <w:szCs w:val="24"/>
              </w:rPr>
              <w:t xml:space="preserve">多功能电箱</w:t>
            </w:r>
            <w:r>
              <w:rPr>
                <w:rFonts w:hint="eastAsia" w:ascii="宋体" w:hAnsi="宋体" w:eastAsia="宋体" w:cs="宋体"/>
                <w:sz w:val="24"/>
                <w:szCs w:val="24"/>
                <w:lang w:val="zh-CN"/>
              </w:rPr>
            </w:r>
            <w:r/>
          </w:p>
        </w:tc>
        <w:tc>
          <w:tcPr>
            <w:tcW w:w="1421"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r>
            <w:r/>
          </w:p>
        </w:tc>
        <w:tc>
          <w:tcPr>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lang w:val="zh-CN"/>
              </w:rPr>
            </w:pPr>
            <w:r>
              <w:rPr>
                <w:rFonts w:hint="eastAsia" w:ascii="宋体" w:hAnsi="宋体" w:eastAsia="宋体" w:cs="宋体"/>
                <w:sz w:val="24"/>
                <w:szCs w:val="24"/>
              </w:rPr>
              <w:t xml:space="preserve">前置边缘网关识别设备(含内置算法)</w:t>
            </w:r>
            <w:r>
              <w:rPr>
                <w:rFonts w:hint="eastAsia" w:ascii="宋体" w:hAnsi="宋体" w:eastAsia="宋体" w:cs="宋体"/>
                <w:sz w:val="24"/>
                <w:szCs w:val="24"/>
                <w:lang w:val="zh-CN"/>
              </w:rPr>
            </w:r>
            <w:r/>
          </w:p>
        </w:tc>
        <w:tc>
          <w:tcPr>
            <w:tcW w:w="1421" w:type="dxa"/>
            <w:vAlign w:val="center"/>
            <w:textDirection w:val="lrTb"/>
            <w:noWrap w:val="false"/>
          </w:tcPr>
          <w:p>
            <w:pPr>
              <w:pStyle w:val="924"/>
              <w:jc w:val="center"/>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rPr>
            </w:r>
            <w:r/>
          </w:p>
        </w:tc>
        <w:tc>
          <w:tcPr>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管理配备服务器</w:t>
            </w:r>
            <w:r>
              <w:rPr>
                <w:rFonts w:hint="eastAsia" w:ascii="宋体" w:hAnsi="宋体" w:eastAsia="宋体" w:cs="宋体"/>
                <w:sz w:val="24"/>
                <w:szCs w:val="24"/>
                <w:lang w:eastAsia="zh-CN"/>
              </w:rPr>
            </w:r>
            <w:r/>
          </w:p>
        </w:tc>
        <w:tc>
          <w:tcPr>
            <w:tcW w:w="1421"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r>
            <w:r/>
          </w:p>
        </w:tc>
        <w:tc>
          <w:tcPr>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lang w:val="zh-CN"/>
              </w:rPr>
            </w:pPr>
            <w:r>
              <w:rPr>
                <w:rFonts w:hint="eastAsia" w:ascii="宋体" w:hAnsi="宋体" w:eastAsia="宋体" w:cs="宋体"/>
                <w:sz w:val="24"/>
                <w:szCs w:val="24"/>
              </w:rPr>
              <w:t xml:space="preserve">流媒体存储/分发服务器</w:t>
            </w:r>
            <w:r>
              <w:rPr>
                <w:rFonts w:hint="eastAsia" w:ascii="宋体" w:hAnsi="宋体" w:eastAsia="宋体" w:cs="宋体"/>
                <w:sz w:val="24"/>
                <w:szCs w:val="24"/>
                <w:lang w:val="zh-CN"/>
              </w:rPr>
            </w:r>
            <w:r/>
          </w:p>
        </w:tc>
        <w:tc>
          <w:tcPr>
            <w:tcW w:w="1421"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r>
            <w:r/>
          </w:p>
        </w:tc>
        <w:tc>
          <w:tcPr>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lang w:val="zh-CN"/>
              </w:rPr>
            </w:pPr>
            <w:r>
              <w:rPr>
                <w:rFonts w:hint="eastAsia" w:ascii="宋体" w:hAnsi="宋体" w:eastAsia="宋体" w:cs="宋体"/>
                <w:sz w:val="24"/>
                <w:szCs w:val="24"/>
              </w:rPr>
              <w:t xml:space="preserve">后端预警识别服务器</w:t>
            </w:r>
            <w:r>
              <w:rPr>
                <w:rFonts w:hint="eastAsia" w:ascii="宋体" w:hAnsi="宋体" w:eastAsia="宋体" w:cs="宋体"/>
                <w:sz w:val="24"/>
                <w:szCs w:val="24"/>
                <w:lang w:val="zh-CN"/>
              </w:rPr>
            </w:r>
            <w:r/>
          </w:p>
        </w:tc>
        <w:tc>
          <w:tcPr>
            <w:tcW w:w="1421"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r>
            <w:r/>
          </w:p>
        </w:tc>
        <w:tc>
          <w:tcPr>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r>
        <w:trPr>
          <w:trHeight w:val="439"/>
        </w:trPr>
        <w:tc>
          <w:tcPr>
            <w:tcW w:w="800"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4296" w:type="dxa"/>
            <w:vAlign w:val="center"/>
            <w:textDirection w:val="lrTb"/>
            <w:noWrap w:val="false"/>
          </w:tcPr>
          <w:p>
            <w:pPr>
              <w:pStyle w:val="924"/>
              <w:jc w:val="center"/>
              <w:rPr>
                <w:rFonts w:hint="eastAsia" w:ascii="宋体" w:hAnsi="宋体" w:eastAsia="宋体" w:cs="宋体"/>
                <w:sz w:val="24"/>
                <w:szCs w:val="24"/>
                <w:lang w:val="zh-CN" w:eastAsia="zh-CN"/>
              </w:rPr>
            </w:pPr>
            <w:r>
              <w:rPr>
                <w:rFonts w:hint="eastAsia" w:ascii="宋体" w:hAnsi="宋体" w:eastAsia="宋体" w:cs="宋体"/>
                <w:sz w:val="24"/>
                <w:szCs w:val="24"/>
              </w:rPr>
              <w:t xml:space="preserve">大模型服务器(含内置算法</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r>
            <w:r/>
          </w:p>
        </w:tc>
        <w:tc>
          <w:tcPr>
            <w:tcW w:w="1421" w:type="dxa"/>
            <w:vAlign w:val="center"/>
            <w:textDirection w:val="lrTb"/>
            <w:noWrap w:val="false"/>
          </w:tcPr>
          <w:p>
            <w:pPr>
              <w:pStyle w:val="924"/>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267" w:type="dxa"/>
            <w:vAlign w:val="center"/>
            <w:textDirection w:val="lrTb"/>
            <w:noWrap w:val="false"/>
          </w:tcPr>
          <w:p>
            <w:pPr>
              <w:pStyle w:val="924"/>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台</w:t>
            </w:r>
            <w:r>
              <w:rPr>
                <w:rFonts w:hint="eastAsia" w:ascii="宋体" w:hAnsi="宋体" w:eastAsia="宋体" w:cs="宋体"/>
                <w:sz w:val="24"/>
                <w:szCs w:val="24"/>
              </w:rPr>
            </w:r>
            <w:r/>
          </w:p>
        </w:tc>
        <w:tc>
          <w:tcPr>
            <w:tcW w:w="2017" w:type="dxa"/>
            <w:vAlign w:val="top"/>
            <w:textDirection w:val="lrTb"/>
            <w:noWrap w:val="false"/>
          </w:tcPr>
          <w:p>
            <w:pPr>
              <w:pStyle w:val="924"/>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工业</w:t>
            </w:r>
            <w:r>
              <w:rPr>
                <w:rFonts w:hint="eastAsia" w:ascii="宋体" w:hAnsi="宋体" w:eastAsia="宋体" w:cs="宋体"/>
                <w:sz w:val="24"/>
                <w:szCs w:val="24"/>
                <w:lang w:val="en-US" w:eastAsia="zh-CN"/>
              </w:rPr>
            </w:r>
            <w:r/>
          </w:p>
        </w:tc>
      </w:tr>
    </w:tbl>
    <w:p>
      <w:pPr>
        <w:pStyle w:val="924"/>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24"/>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24"/>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24"/>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24"/>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lang w:val="en-US" w:eastAsia="zh-CN"/>
        </w:rPr>
      </w:r>
      <w:r/>
    </w:p>
    <w:p>
      <w:pPr>
        <w:pStyle w:val="924"/>
        <w:spacing w:line="0" w:lineRule="atLeast"/>
        <w:rPr>
          <w:rFonts w:ascii="宋体" w:hAnsi="宋体"/>
          <w:b/>
          <w:color w:val="000000"/>
          <w:sz w:val="24"/>
          <w:szCs w:val="24"/>
        </w:rPr>
      </w:pPr>
      <w:r>
        <w:rPr>
          <w:rFonts w:ascii="宋体" w:hAnsi="宋体"/>
          <w:b/>
          <w:color w:val="000000"/>
          <w:sz w:val="24"/>
          <w:szCs w:val="24"/>
        </w:rPr>
      </w:r>
      <w:r/>
    </w:p>
    <w:p>
      <w:pPr>
        <w:pStyle w:val="924"/>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24"/>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打▲项参数按要求提供证明材料。</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w:t>
      </w:r>
      <w:r>
        <w:rPr>
          <w:rFonts w:hint="eastAsia" w:ascii="宋体" w:hAnsi="宋体"/>
          <w:bCs/>
          <w:sz w:val="24"/>
          <w:szCs w:val="24"/>
        </w:rPr>
        <w:t xml:space="preserve">产品技术参数：以下参数为各产品的基本指标，投标人所投产品参数符合或优于各项指标要求，视作响应。</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详细技术参数如下：</w:t>
      </w:r>
      <w:r>
        <w:rPr>
          <w:rFonts w:hint="eastAsia" w:ascii="宋体" w:hAnsi="宋体"/>
          <w:bCs/>
          <w:sz w:val="24"/>
          <w:szCs w:val="24"/>
        </w:rPr>
      </w:r>
      <w:r/>
    </w:p>
    <w:tbl>
      <w:tblPr>
        <w:tblW w:w="0" w:type="auto"/>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16"/>
        <w:gridCol w:w="1394"/>
        <w:gridCol w:w="859"/>
        <w:gridCol w:w="786"/>
        <w:gridCol w:w="6187"/>
      </w:tblGrid>
      <w:tr>
        <w:trPr>
          <w:trHeight w:val="23"/>
        </w:trPr>
        <w:tc>
          <w:tcPr>
            <w:shd w:val="clear" w:color="auto" w:fill="d8d8d8"/>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shd w:val="clear" w:color="auto" w:fill="d8d8d8"/>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产品清单</w:t>
            </w:r>
            <w:r>
              <w:rPr>
                <w:rFonts w:hint="eastAsia" w:ascii="宋体" w:hAnsi="宋体" w:eastAsia="宋体" w:cs="宋体"/>
                <w:b/>
                <w:bCs/>
                <w:i w:val="0"/>
                <w:iCs w:val="0"/>
                <w:color w:val="000000"/>
                <w:sz w:val="21"/>
                <w:szCs w:val="21"/>
                <w:highlight w:val="none"/>
                <w:u w:val="none"/>
              </w:rPr>
            </w:r>
            <w:r/>
          </w:p>
        </w:tc>
        <w:tc>
          <w:tcPr>
            <w:shd w:val="clear" w:color="auto" w:fill="d8d8d8"/>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shd w:val="clear" w:color="auto" w:fill="d8d8d8"/>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shd w:val="clear" w:color="auto" w:fill="d8d8d8"/>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参数</w:t>
            </w:r>
            <w:r>
              <w:rPr>
                <w:rFonts w:hint="eastAsia" w:ascii="宋体" w:hAnsi="宋体" w:eastAsia="宋体" w:cs="宋体"/>
                <w:b/>
                <w:bCs/>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一体化云台摄像机</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jc w:val="left"/>
              <w:keepLines w:val="0"/>
              <w:keepNext w:val="0"/>
              <w:spacing w:line="240" w:lineRule="auto"/>
              <w:widowControl/>
              <w:rPr>
                <w:rFonts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包含云台、</w:t>
            </w:r>
            <w:r>
              <w:rPr>
                <w:rFonts w:hint="eastAsia" w:ascii="宋体" w:hAnsi="宋体" w:eastAsia="宋体" w:cs="宋体"/>
                <w:color w:val="000000"/>
                <w:sz w:val="21"/>
                <w:szCs w:val="21"/>
                <w:highlight w:val="none"/>
                <w:lang w:val="en-US" w:eastAsia="zh-CN"/>
              </w:rPr>
              <w:t xml:space="preserve">可见光摄像机</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红外摄像机</w:t>
            </w:r>
            <w:r>
              <w:rPr>
                <w:rFonts w:hint="eastAsia" w:ascii="宋体" w:hAnsi="宋体" w:cs="宋体"/>
                <w:color w:val="000000"/>
                <w:sz w:val="21"/>
                <w:szCs w:val="21"/>
                <w:highlight w:val="none"/>
                <w:lang w:val="en-US" w:eastAsia="zh-CN"/>
              </w:rPr>
              <w:t xml:space="preserve">三部分。</w:t>
            </w:r>
            <w:r>
              <w:rPr>
                <w:rFonts w:ascii="宋体" w:hAnsi="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lang w:val="en-US" w:eastAsia="zh-CN"/>
              </w:rPr>
              <w:t xml:space="preserve">云台参数：</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(1)云台采用直流无刷电机传动；采用高精度数字绝对位置编码器，预置位再现精度可设置为</w:t>
            </w:r>
            <w:r>
              <w:rPr>
                <w:rFonts w:hint="eastAsia" w:ascii="宋体" w:hAnsi="宋体" w:cs="宋体"/>
                <w:color w:val="000000"/>
                <w:sz w:val="21"/>
                <w:szCs w:val="21"/>
                <w:highlight w:val="none"/>
                <w:lang w:val="en-US" w:eastAsia="zh-CN"/>
              </w:rPr>
              <w:t xml:space="preserve">≥0.005</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(2)可见光相机支持光学透雾、电子透雾、混合透雾、算法透雾、光学防抖、陀螺仪电子防抖；</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w:t>
            </w:r>
            <w:r>
              <w:rPr>
                <w:rStyle w:val="937"/>
                <w:rFonts w:hint="eastAsia"/>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t xml:space="preserve">水平旋转范围0°～360°；垂直旋转范围</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-90°～+60°</w:t>
            </w:r>
            <w:r>
              <w:rPr>
                <w:rFonts w:hint="eastAsia" w:ascii="宋体" w:hAnsi="宋体" w:cs="宋体"/>
                <w:color w:val="000000"/>
                <w:sz w:val="21"/>
                <w:szCs w:val="21"/>
                <w:highlight w:val="none"/>
                <w:lang w:val="en-US" w:eastAsia="zh-CN"/>
              </w:rPr>
              <w:t xml:space="preserve">（提供技术白皮书或产品彩页或注明链接的官网截图或软件功能截图等证明材料）</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水平旋转速度</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0.01°/s～38°/s；垂直旋转速度</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0.01°/s～30°/s；</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)支持自动巡航，可显示热成像镜头的聚焦变倍次数，并可对故障信息进行上传；</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)云台正式工作温度范围</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-40°C～+70°C；设备外壳防护等级不低于IP67；</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)云台具有水平、垂直、变焦、聚焦四个类型数据返回功能，可对控制量数据直接设定；</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t xml:space="preserve">）支持在极暗、极高反差、极低反差的条件下自动聚焦；</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）支持多光轴同视场同步变焦、点对点像素比对、同视场比对；</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可见光摄像机</w:t>
            </w:r>
            <w:r>
              <w:rPr>
                <w:rFonts w:hint="eastAsia" w:ascii="宋体" w:hAnsi="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rPr>
                <w:rStyle w:val="937"/>
                <w:rFonts w:hint="eastAsia"/>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t xml:space="preserve">总像素：</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800万</w:t>
            </w:r>
            <w:r>
              <w:rPr>
                <w:rFonts w:hint="eastAsia" w:ascii="宋体" w:hAnsi="宋体" w:cs="宋体"/>
                <w:color w:val="000000"/>
                <w:sz w:val="21"/>
                <w:szCs w:val="21"/>
                <w:highlight w:val="none"/>
                <w:lang w:val="en-US" w:eastAsia="zh-CN"/>
              </w:rPr>
              <w:t xml:space="preserve">（提供技术白皮书或产品彩页或注明链接的官网截图或软件功能截图等证明材料）；</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（2）焦距范围：最小焦距≤8mm，最大焦距≥560mm；</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（3）</w:t>
            </w:r>
            <w:r>
              <w:rPr>
                <w:rStyle w:val="937"/>
                <w:rFonts w:hint="eastAsia"/>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t xml:space="preserve">变焦倍数：</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70x</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光圈范围：1.4-5.4</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最大分辨率：</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3840×2160</w:t>
            </w:r>
            <w:r>
              <w:rPr>
                <w:rFonts w:hint="eastAsia" w:ascii="宋体" w:hAnsi="宋体" w:cs="宋体"/>
                <w:color w:val="000000"/>
                <w:sz w:val="21"/>
                <w:szCs w:val="21"/>
                <w:highlight w:val="none"/>
                <w:lang w:val="en-US" w:eastAsia="zh-CN"/>
              </w:rPr>
              <w:t xml:space="preserve">（提供技术白皮书或产品彩页或注明链接的官网截图或软件功能截图等证明材料）</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Senor大小：1/1.8"CMOS;视频压缩模式：支持丰富的编码压缩模式:H.265/H.264/H.264H/MJPEG；网络协议：Onvif,GB28181,HTTP,RTSP,RTP,TCP,UDP；硬件接口：支持千兆网络；最低照度：彩色：≤0.001Lux，黑白：≤0.0001lux；外部控制：支持RS232；聚焦模式：支持自动/手动/一次性自动聚焦；支持2D、3D降噪功能参数调节；支持曝光补偿、背光补偿、强光抑制、宽动态调节；支持3码流输出，帧率、分辨率可设；</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）支持光学透雾，夜模式为光学透雾900nm-1100nm带通滤镜；</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支持时间、通道名称、光学倍率OSD叠加；支持图片叠加、异常OSD叠加和经纬度叠加。</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en-US" w:eastAsia="zh-CN"/>
              </w:rPr>
              <w:t xml:space="preserve">红外摄像机</w:t>
            </w:r>
            <w:r>
              <w:rPr>
                <w:rFonts w:hint="eastAsia" w:ascii="宋体" w:hAnsi="宋体" w:cs="宋体"/>
                <w:color w:val="000000"/>
                <w:sz w:val="21"/>
                <w:szCs w:val="21"/>
                <w:highlight w:val="none"/>
                <w:lang w:val="en-US" w:eastAsia="zh-CN"/>
              </w:rPr>
              <w:t xml:space="preserve">参数</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（1）焦距范围：最小焦距≤8mm，最大焦距≥520mm; </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（2）</w:t>
            </w:r>
            <w:r>
              <w:rPr>
                <w:rStyle w:val="937"/>
                <w:rFonts w:hint="eastAsia"/>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t xml:space="preserve">变焦倍率：</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65X；总像素：</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200万像素</w:t>
            </w:r>
            <w:r>
              <w:rPr>
                <w:rFonts w:hint="eastAsia" w:ascii="宋体" w:hAnsi="宋体" w:cs="宋体"/>
                <w:color w:val="000000"/>
                <w:sz w:val="21"/>
                <w:szCs w:val="21"/>
                <w:highlight w:val="none"/>
                <w:lang w:val="en-US" w:eastAsia="zh-CN"/>
              </w:rPr>
              <w:t xml:space="preserve">（提供技术白皮书或产品彩页或注明链接的官网截图或软件功能截图等证明材料）</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感光波段：①370-720nm ②800-2400nm；噪声等效温差（NETD）：20mk；</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（4）</w:t>
            </w:r>
            <w:r>
              <w:rPr>
                <w:rStyle w:val="937"/>
                <w:rFonts w:hint="eastAsia"/>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rPr>
              <w:t xml:space="preserve">视频压缩模式：支持丰富的编码压缩模式：H.265/H.264/H.264H/MJPEG；视频存储功能：支持EMMC存储功能或最大128G的TF卡存储功能</w:t>
            </w:r>
            <w:r>
              <w:rPr>
                <w:rFonts w:hint="eastAsia" w:ascii="宋体" w:hAnsi="宋体" w:cs="宋体"/>
                <w:color w:val="000000"/>
                <w:sz w:val="21"/>
                <w:szCs w:val="21"/>
                <w:highlight w:val="none"/>
                <w:lang w:val="en-US" w:eastAsia="zh-CN"/>
              </w:rPr>
              <w:t xml:space="preserve">（提供技术白皮书或产品彩页或注明链接的官网截图或软件功能截图等证明材料）</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图像输出：支持RAW格式原始图像文件输出，并支持raw格式图像帧率可调。</w:t>
            </w:r>
            <w:r>
              <w:rPr>
                <w:rFonts w:hint="eastAsia" w:ascii="宋体" w:hAnsi="宋体" w:eastAsia="宋体" w:cs="宋体"/>
                <w:color w:val="000000"/>
                <w:sz w:val="21"/>
                <w:szCs w:val="21"/>
                <w:highlight w:val="none"/>
                <w:lang w:val="en-US" w:eastAsia="zh-CN"/>
              </w:rPr>
            </w:r>
            <w:r/>
          </w:p>
          <w:p>
            <w:pPr>
              <w:pStyle w:val="924"/>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IP网络传输架构，采用RJ45接口连接。</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多功能电箱</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主要技术参数:内含机箱交流电源防雷、网络接口防雷、光纤传输通讯、数据采集及远程控制单元等；箱体喷塑采用优质冷轧板，板材厚度≥1.2mm；内含风扇、LED照明灯、机械式箱门状态检测开关、光纤熔接盘、光纤适配器；包含DI输入端口、DO输出端口、RS485接口、温湿度传感器；温湿度测量范围最低温度≤-20°C，最高温度≥70°C；湿度范围</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0～100%RH；光纤传输通讯。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防护级别</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IP55级。</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前置边缘网关识别设备(含内置算法)</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jc w:val="left"/>
              <w:keepLines w:val="0"/>
              <w:keepNext w:val="0"/>
              <w:spacing w:line="240" w:lineRule="auto"/>
              <w:widowControl/>
              <w:rPr>
                <w:rStyle w:val="937"/>
                <w:rFonts w:hint="eastAsia"/>
                <w:color w:val="000000"/>
                <w:sz w:val="21"/>
                <w:szCs w:val="21"/>
                <w:highlight w:val="yellow"/>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算力</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20TOPS；内存</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4GB；系统盘</w:t>
            </w:r>
            <w:r>
              <w:rPr>
                <w:rFonts w:hint="eastAsia" w:ascii="宋体" w:hAnsi="宋体" w:cs="宋体"/>
                <w:color w:val="000000"/>
                <w:sz w:val="21"/>
                <w:szCs w:val="21"/>
                <w:highlight w:val="none"/>
                <w:lang w:val="en-US"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512GB SSD。</w:t>
            </w:r>
            <w:r>
              <w:rPr>
                <w:rStyle w:val="937"/>
                <w:color w:val="000000"/>
                <w:sz w:val="21"/>
                <w:szCs w:val="21"/>
                <w:highlight w:val="none"/>
                <w:lang w:val="en-US" w:eastAsia="zh-CN" w:bidi="ar"/>
              </w:rPr>
              <w:br w:type="textWrapping" w:clear="all"/>
            </w:r>
            <w:r>
              <w:rPr>
                <w:rStyle w:val="937"/>
                <w:rFonts w:hint="eastAsia"/>
                <w:color w:val="000000"/>
                <w:sz w:val="21"/>
                <w:szCs w:val="21"/>
                <w:highlight w:val="none"/>
                <w:lang w:val="en-US" w:eastAsia="zh-CN" w:bidi="ar"/>
              </w:rPr>
              <w:t xml:space="preserve">（2）▲支持分区检测，对同一个预置位画面的不同区域采用不同的检测规则；支持分时检测，不同时间能对同一个预置位采用不同的检测规则进行烟火检测</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yellow"/>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color w:val="000000"/>
                <w:sz w:val="21"/>
                <w:szCs w:val="21"/>
                <w:highlight w:val="none"/>
                <w:lang w:val="en-US" w:eastAsia="zh-CN" w:bidi="ar"/>
              </w:rPr>
              <w:t xml:space="preserve">（3）能够对1000万像素及以下的高清视频进行林火图像分析。每路视频可以在五分钟之内完成360度的巡航检测，能够对五公里以内森林/芦苇火灾进行准确报警；支持手动设置负区和正区；检测算法支持自动生成检测区域与非检测区域，且支持手动调整；</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color w:val="000000"/>
                <w:sz w:val="21"/>
                <w:szCs w:val="21"/>
                <w:highlight w:val="none"/>
                <w:lang w:val="en-US" w:eastAsia="zh-CN" w:bidi="ar"/>
              </w:rPr>
              <w:t xml:space="preserve">（4）▲可根据不同时间段、预置位对前端摄像机图像参数进行修改，修改参数包括亮度、反差、锐度、宽动态、增益、快门、光圈等</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color w:val="000000"/>
                <w:sz w:val="21"/>
                <w:szCs w:val="21"/>
                <w:highlight w:val="none"/>
                <w:lang w:val="en-US" w:eastAsia="zh-CN" w:bidi="ar"/>
              </w:rPr>
              <w:t xml:space="preserve">（5）支持在线学习，可实时将报警图像自动上传到服务器，服务器可以自动提取相应特征添加到特征数据库中，同时可以更新所有的在线检测设备；</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color w:val="000000"/>
                <w:sz w:val="21"/>
                <w:szCs w:val="21"/>
                <w:highlight w:val="none"/>
                <w:lang w:val="en-US" w:eastAsia="zh-CN" w:bidi="ar"/>
              </w:rPr>
              <w:t xml:space="preserve">（6）支持边缘计算、后端计算与云计算混合识别方式</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937"/>
                <w:rFonts w:hint="eastAsia"/>
                <w:color w:val="000000"/>
                <w:sz w:val="21"/>
                <w:szCs w:val="21"/>
                <w:highlight w:val="none"/>
                <w:lang w:val="en-US" w:eastAsia="zh-CN" w:bidi="ar"/>
              </w:rPr>
              <w:t xml:space="preserve">（7）支持DSP、GPU、VPU扩展，扩展硬件模块后可设置是否开启深度学习识别引擎；可设置对10×10像素烟雾报警，显示最小发现像素数能设置为5×5，热像报警像素数能设置为1×2；可见光及热像检测误报率≤万分之一。在识别目标与背景的对比度≥10%时，火情监测系统漏报率≤万分之一，误报率≤万分之一；支持语义分割;当相机巡检至检测位时，可自动识别图像，并调用出相关检测位的检测方案，且支持雨雪等无需检测天气的自动识别。</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管理配</w:t>
            </w:r>
            <w:r>
              <w:rPr>
                <w:rFonts w:hint="eastAsia" w:ascii="宋体" w:hAnsi="宋体" w:cs="宋体"/>
                <w:i w:val="0"/>
                <w:iCs w:val="0"/>
                <w:color w:val="000000"/>
                <w:sz w:val="21"/>
                <w:szCs w:val="21"/>
                <w:highlight w:val="none"/>
                <w:u w:val="none"/>
                <w:lang w:val="en-US" w:eastAsia="zh-CN" w:bidi="ar"/>
              </w:rPr>
              <w:t xml:space="preserve">备</w:t>
            </w:r>
            <w:r>
              <w:rPr>
                <w:rFonts w:hint="eastAsia" w:ascii="宋体" w:hAnsi="宋体" w:eastAsia="宋体" w:cs="宋体"/>
                <w:i w:val="0"/>
                <w:iCs w:val="0"/>
                <w:color w:val="000000"/>
                <w:sz w:val="21"/>
                <w:szCs w:val="21"/>
                <w:highlight w:val="none"/>
                <w:u w:val="none"/>
                <w:lang w:val="en-US" w:eastAsia="zh-CN" w:bidi="ar"/>
              </w:rPr>
              <w:t xml:space="preserve">服务器</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1</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台</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numPr>
                <w:ilvl w:val="0"/>
                <w:numId w:val="0"/>
              </w:numPr>
              <w:jc w:val="left"/>
              <w:keepLines w:val="0"/>
              <w:keepNext w:val="0"/>
              <w:spacing w:line="240" w:lineRule="auto"/>
              <w:widowControl/>
              <w:rPr>
                <w:rStyle w:val="937"/>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lang w:val="en-US" w:eastAsia="zh-CN" w:bidi="ar"/>
              </w:rPr>
              <w:t xml:space="preserve">（1）</w:t>
            </w:r>
            <w:r>
              <w:rPr>
                <w:rStyle w:val="937"/>
                <w:rFonts w:hint="eastAsia"/>
                <w:color w:val="000000"/>
                <w:sz w:val="21"/>
                <w:szCs w:val="21"/>
                <w:highlight w:val="none"/>
                <w:lang w:val="en-US" w:eastAsia="zh-CN" w:bidi="ar"/>
              </w:rPr>
              <w:t xml:space="preserve">▲</w:t>
            </w:r>
            <w:r>
              <w:rPr>
                <w:rStyle w:val="937"/>
                <w:rFonts w:hint="eastAsia" w:ascii="宋体" w:hAnsi="宋体" w:eastAsia="宋体" w:cs="宋体"/>
                <w:color w:val="000000"/>
                <w:sz w:val="21"/>
                <w:szCs w:val="21"/>
                <w:highlight w:val="none"/>
                <w:lang w:val="en-US" w:eastAsia="zh-CN" w:bidi="ar"/>
              </w:rPr>
              <w:t xml:space="preserve">CPU：≥(</w:t>
            </w:r>
            <w:r>
              <w:rPr>
                <w:rStyle w:val="937"/>
                <w:rFonts w:hint="eastAsia" w:ascii="宋体" w:hAnsi="宋体" w:cs="宋体"/>
                <w:color w:val="000000"/>
                <w:sz w:val="21"/>
                <w:szCs w:val="21"/>
                <w:highlight w:val="none"/>
                <w:lang w:val="en-US" w:eastAsia="zh-CN" w:bidi="ar"/>
              </w:rPr>
              <w:t xml:space="preserve">2颗24核48线程，</w:t>
            </w:r>
            <w:r>
              <w:rPr>
                <w:rStyle w:val="937"/>
                <w:rFonts w:hint="eastAsia" w:ascii="宋体" w:hAnsi="宋体" w:eastAsia="宋体" w:cs="宋体"/>
                <w:color w:val="000000"/>
                <w:sz w:val="21"/>
                <w:szCs w:val="21"/>
                <w:highlight w:val="none"/>
                <w:lang w:val="en-US" w:eastAsia="zh-CN" w:bidi="ar"/>
              </w:rPr>
              <w:t xml:space="preserve">2.2G)；内存：≥32GB DDR5*8；系统盘：≥(12盘位）480G SSD×2（RAID_1）+480G SSD×2+8T 7.2K SATA×2；数据盘：≥10TB*4</w:t>
            </w:r>
            <w:r>
              <w:rPr>
                <w:rStyle w:val="937"/>
                <w:rFonts w:hint="eastAsia" w:ascii="宋体" w:hAnsi="宋体" w:cs="宋体"/>
                <w:color w:val="000000"/>
                <w:sz w:val="21"/>
                <w:szCs w:val="21"/>
                <w:highlight w:val="none"/>
                <w:lang w:val="en-US" w:eastAsia="zh-CN" w:bidi="ar"/>
              </w:rPr>
              <w:t xml:space="preserve">；</w:t>
            </w:r>
            <w:r>
              <w:rPr>
                <w:rFonts w:hint="eastAsia" w:ascii="宋体" w:hAnsi="宋体" w:cs="宋体"/>
                <w:color w:val="000000"/>
                <w:sz w:val="21"/>
                <w:szCs w:val="21"/>
                <w:highlight w:val="none"/>
                <w:lang w:val="en-US" w:eastAsia="zh-CN"/>
              </w:rPr>
              <w:t xml:space="preserve">（提供技术白皮书或产品彩页或注明链接的官网截图或软件功能截图等证明材料）</w:t>
            </w:r>
            <w:r>
              <w:rPr>
                <w:rStyle w:val="937"/>
                <w:rFonts w:hint="eastAsia" w:ascii="宋体" w:hAnsi="宋体" w:eastAsia="宋体" w:cs="宋体"/>
                <w:color w:val="000000"/>
                <w:sz w:val="21"/>
                <w:szCs w:val="21"/>
                <w:highlight w:val="none"/>
                <w:lang w:val="en-US" w:eastAsia="zh-CN" w:bidi="ar"/>
              </w:rPr>
              <w:t xml:space="preserve">；</w:t>
            </w:r>
            <w:r>
              <w:rPr>
                <w:rStyle w:val="937"/>
                <w:rFonts w:hint="eastAsia" w:ascii="宋体" w:hAnsi="宋体" w:eastAsia="宋体" w:cs="宋体"/>
                <w:color w:val="000000"/>
                <w:sz w:val="21"/>
                <w:szCs w:val="21"/>
                <w:highlight w:val="none"/>
                <w:lang w:val="en-US" w:eastAsia="zh-CN" w:bidi="ar"/>
              </w:rPr>
            </w:r>
            <w:r/>
          </w:p>
          <w:p>
            <w:pPr>
              <w:pStyle w:val="924"/>
              <w:numPr>
                <w:ilvl w:val="0"/>
                <w:numId w:val="0"/>
              </w:numPr>
              <w:jc w:val="left"/>
              <w:keepLines w:val="0"/>
              <w:keepNext w:val="0"/>
              <w:spacing w:line="240" w:lineRule="auto"/>
              <w:widowControl/>
              <w:rPr>
                <w:rStyle w:val="937"/>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w:t>
            </w:r>
            <w:r>
              <w:rPr>
                <w:rStyle w:val="937"/>
                <w:rFonts w:hint="eastAsia" w:ascii="宋体" w:hAnsi="宋体" w:cs="宋体"/>
                <w:color w:val="000000"/>
                <w:sz w:val="21"/>
                <w:szCs w:val="21"/>
                <w:highlight w:val="none"/>
                <w:lang w:val="en-US" w:eastAsia="zh-CN" w:bidi="ar"/>
              </w:rPr>
              <w:t xml:space="preserve">算力≥4 TOPS；</w:t>
            </w:r>
            <w:r>
              <w:rPr>
                <w:rStyle w:val="937"/>
                <w:rFonts w:hint="eastAsia" w:ascii="宋体" w:hAnsi="宋体" w:eastAsia="宋体" w:cs="宋体"/>
                <w:color w:val="000000"/>
                <w:sz w:val="21"/>
                <w:szCs w:val="21"/>
                <w:highlight w:val="none"/>
                <w:lang w:val="en-US" w:eastAsia="zh-CN" w:bidi="ar"/>
              </w:rPr>
              <w:t xml:space="preserve">网口：≥1GbE×2+10GbE×2（含光模块）</w:t>
            </w:r>
            <w:r>
              <w:rPr>
                <w:rStyle w:val="937"/>
                <w:rFonts w:hint="eastAsia" w:ascii="宋体" w:hAnsi="宋体" w:eastAsia="宋体" w:cs="宋体"/>
                <w:color w:val="000000"/>
                <w:sz w:val="21"/>
                <w:szCs w:val="21"/>
                <w:highlight w:val="none"/>
                <w:lang w:val="en-US" w:eastAsia="zh-CN" w:bidi="ar"/>
              </w:rPr>
            </w:r>
            <w:r/>
          </w:p>
          <w:p>
            <w:pPr>
              <w:pStyle w:val="924"/>
              <w:numPr>
                <w:ilvl w:val="0"/>
                <w:numId w:val="0"/>
              </w:numPr>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Fonts w:hint="eastAsia" w:ascii="宋体" w:hAnsi="宋体" w:eastAsia="宋体" w:cs="宋体"/>
                <w:color w:val="000000"/>
                <w:sz w:val="21"/>
                <w:szCs w:val="21"/>
                <w:lang w:val="en-US" w:eastAsia="zh-CN" w:bidi="ar"/>
              </w:rPr>
              <w:t xml:space="preserve">（</w:t>
            </w:r>
            <w:r>
              <w:rPr>
                <w:rFonts w:hint="eastAsia" w:ascii="宋体" w:hAnsi="宋体" w:cs="宋体"/>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w:t>
            </w:r>
            <w:r>
              <w:rPr>
                <w:rStyle w:val="937"/>
                <w:rFonts w:hint="eastAsia"/>
                <w:color w:val="000000"/>
                <w:sz w:val="21"/>
                <w:szCs w:val="21"/>
                <w:highlight w:val="none"/>
                <w:lang w:val="en-US" w:eastAsia="zh-CN" w:bidi="ar"/>
              </w:rPr>
              <w:t xml:space="preserve">软件功能包含态势感知板块、预警监测板块、扑救预案板块、灾后管理板块四部分。</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ascii="宋体" w:hAnsi="宋体" w:eastAsia="宋体" w:cs="宋体"/>
                <w:color w:val="000000"/>
                <w:sz w:val="21"/>
                <w:szCs w:val="21"/>
                <w:highlight w:val="none"/>
                <w:lang w:val="en-US" w:eastAsia="zh-CN" w:bidi="ar"/>
              </w:rPr>
              <w:suppressLineNumbers w:val="0"/>
            </w:pPr>
            <w:r>
              <w:rPr>
                <w:rStyle w:val="937"/>
                <w:rFonts w:hint="eastAsia" w:ascii="宋体" w:hAnsi="宋体" w:eastAsia="宋体" w:cs="宋体"/>
                <w:color w:val="000000"/>
                <w:sz w:val="21"/>
                <w:szCs w:val="21"/>
                <w:highlight w:val="none"/>
                <w:lang w:val="en-US" w:eastAsia="zh-CN" w:bidi="ar"/>
              </w:rPr>
              <w:t xml:space="preserve">①态势感知板块</w:t>
            </w:r>
            <w:r>
              <w:rPr>
                <w:rStyle w:val="937"/>
                <w:rFonts w:hint="eastAsia" w:ascii="宋体" w:hAnsi="宋体" w:eastAsia="宋体" w:cs="宋体"/>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（1）具备森林/芦苇防火“一张图”</w:t>
            </w:r>
            <w:r>
              <w:rPr>
                <w:rStyle w:val="937"/>
                <w:rFonts w:hint="eastAsia"/>
                <w:color w:val="000000"/>
                <w:sz w:val="21"/>
                <w:szCs w:val="21"/>
                <w:highlight w:val="none"/>
                <w:lang w:val="en-US" w:eastAsia="zh-CN" w:bidi="ar"/>
              </w:rPr>
              <w:t xml:space="preserve">，包含基础地理数据库、森林/芦苇防火基础设施分布、森林//芦苇资源数据等，以图形化的方式充分显示林区内防火相关资源的空间分布、数量统计和属性信息。</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（2）</w:t>
            </w:r>
            <w:r>
              <w:rPr>
                <w:rStyle w:val="937"/>
                <w:rFonts w:hint="eastAsia"/>
                <w:color w:val="000000"/>
                <w:sz w:val="21"/>
                <w:szCs w:val="21"/>
                <w:highlight w:val="none"/>
                <w:lang w:val="en-US" w:eastAsia="zh-CN" w:bidi="ar"/>
              </w:rPr>
              <w:t xml:space="preserve">▲</w:t>
            </w:r>
            <w:r>
              <w:rPr>
                <w:rStyle w:val="937"/>
                <w:rFonts w:hint="eastAsia"/>
                <w:b/>
                <w:bCs/>
                <w:color w:val="000000"/>
                <w:sz w:val="21"/>
                <w:szCs w:val="21"/>
                <w:highlight w:val="none"/>
                <w:lang w:val="en-US" w:eastAsia="zh-CN" w:bidi="ar"/>
              </w:rPr>
              <w:t xml:space="preserve">具备资源查看功能</w:t>
            </w:r>
            <w:r>
              <w:rPr>
                <w:rStyle w:val="937"/>
                <w:rFonts w:hint="eastAsia"/>
                <w:color w:val="000000"/>
                <w:sz w:val="21"/>
                <w:szCs w:val="21"/>
                <w:highlight w:val="none"/>
                <w:lang w:val="en-US" w:eastAsia="zh-CN" w:bidi="ar"/>
              </w:rPr>
              <w:t xml:space="preserve">，根据地图中的要素图标，查看该要素的属性信息，点击建设的高点智能监控，可获取实时监控视频画面，对于双光智能监控可选择对应的视频流实现分屏播放；可获取视频控制权限，对摄像头进行变焦、变倍、水平、垂直等方向操作</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（3）</w:t>
            </w:r>
            <w:r>
              <w:rPr>
                <w:rStyle w:val="937"/>
                <w:rFonts w:hint="eastAsia"/>
                <w:color w:val="000000"/>
                <w:sz w:val="21"/>
                <w:szCs w:val="21"/>
                <w:highlight w:val="none"/>
                <w:lang w:val="en-US" w:eastAsia="zh-CN" w:bidi="ar"/>
              </w:rPr>
              <w:t xml:space="preserve">▲</w:t>
            </w:r>
            <w:r>
              <w:rPr>
                <w:rStyle w:val="937"/>
                <w:rFonts w:hint="eastAsia"/>
                <w:b/>
                <w:bCs/>
                <w:color w:val="000000"/>
                <w:sz w:val="21"/>
                <w:szCs w:val="21"/>
                <w:highlight w:val="none"/>
                <w:lang w:val="en-US" w:eastAsia="zh-CN" w:bidi="ar"/>
              </w:rPr>
              <w:t xml:space="preserve">具备空间分析功能</w:t>
            </w:r>
            <w:r>
              <w:rPr>
                <w:rStyle w:val="937"/>
                <w:rFonts w:hint="eastAsia"/>
                <w:color w:val="000000"/>
                <w:sz w:val="21"/>
                <w:szCs w:val="21"/>
                <w:highlight w:val="none"/>
                <w:lang w:val="en-US" w:eastAsia="zh-CN" w:bidi="ar"/>
              </w:rPr>
              <w:t xml:space="preserve">包含依地距离量算、依地面积测量、起止点剖面分析、坡度分析、鼠标地图位置拾取等功能。可根据不同项目的数据来源要求，进行地图影像的切换</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ascii="宋体" w:hAnsi="宋体" w:eastAsia="宋体" w:cs="宋体"/>
                <w:color w:val="000000"/>
                <w:sz w:val="21"/>
                <w:szCs w:val="21"/>
                <w:highlight w:val="none"/>
                <w:lang w:val="en-US" w:eastAsia="zh-CN" w:bidi="ar"/>
              </w:rPr>
              <w:suppressLineNumbers w:val="0"/>
            </w:pPr>
            <w:r>
              <w:rPr>
                <w:rStyle w:val="937"/>
                <w:rFonts w:hint="eastAsia" w:ascii="宋体" w:hAnsi="宋体" w:eastAsia="宋体" w:cs="宋体"/>
                <w:color w:val="000000"/>
                <w:sz w:val="21"/>
                <w:szCs w:val="21"/>
                <w:highlight w:val="none"/>
                <w:lang w:val="en-US" w:eastAsia="zh-CN" w:bidi="ar"/>
              </w:rPr>
              <w:t xml:space="preserve">②预警监测板块</w:t>
            </w:r>
            <w:r>
              <w:rPr>
                <w:rStyle w:val="937"/>
                <w:rFonts w:hint="eastAsia" w:ascii="宋体" w:hAnsi="宋体" w:eastAsia="宋体" w:cs="宋体"/>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（1）</w:t>
            </w:r>
            <w:r>
              <w:rPr>
                <w:rStyle w:val="937"/>
                <w:rFonts w:hint="eastAsia"/>
                <w:color w:val="000000"/>
                <w:sz w:val="21"/>
                <w:szCs w:val="21"/>
                <w:highlight w:val="none"/>
                <w:lang w:val="en-US" w:eastAsia="zh-CN" w:bidi="ar"/>
              </w:rPr>
              <w:t xml:space="preserve">▲</w:t>
            </w:r>
            <w:r>
              <w:rPr>
                <w:rStyle w:val="937"/>
                <w:rFonts w:hint="eastAsia"/>
                <w:b/>
                <w:bCs/>
                <w:color w:val="000000"/>
                <w:sz w:val="21"/>
                <w:szCs w:val="21"/>
                <w:highlight w:val="none"/>
                <w:lang w:val="en-US" w:eastAsia="zh-CN" w:bidi="ar"/>
              </w:rPr>
              <w:t xml:space="preserve">具备火情报警列表功能</w:t>
            </w:r>
            <w:r>
              <w:rPr>
                <w:rStyle w:val="937"/>
                <w:rFonts w:hint="eastAsia"/>
                <w:color w:val="000000"/>
                <w:sz w:val="21"/>
                <w:szCs w:val="21"/>
                <w:highlight w:val="none"/>
                <w:lang w:val="en-US" w:eastAsia="zh-CN" w:bidi="ar"/>
              </w:rPr>
              <w:t xml:space="preserve">，系统发现火情后会进行蜂鸣报警，在火情列表中置顶最新的报警信息，报警信息包含可见光报警图片、热成像报警图片、火情居中放大图片以及前后1分钟的报警视频</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（2）</w:t>
            </w:r>
            <w:r>
              <w:rPr>
                <w:rStyle w:val="937"/>
                <w:rFonts w:hint="eastAsia"/>
                <w:color w:val="000000"/>
                <w:sz w:val="21"/>
                <w:szCs w:val="21"/>
                <w:highlight w:val="none"/>
                <w:lang w:val="en-US" w:eastAsia="zh-CN" w:bidi="ar"/>
              </w:rPr>
              <w:t xml:space="preserve">▲</w:t>
            </w:r>
            <w:r>
              <w:rPr>
                <w:rStyle w:val="937"/>
                <w:rFonts w:hint="eastAsia"/>
                <w:b/>
                <w:bCs/>
                <w:color w:val="000000"/>
                <w:sz w:val="21"/>
                <w:szCs w:val="21"/>
                <w:highlight w:val="none"/>
                <w:lang w:val="en-US" w:eastAsia="zh-CN" w:bidi="ar"/>
              </w:rPr>
              <w:t xml:space="preserve">具备火情分类统计功能</w:t>
            </w:r>
            <w:r>
              <w:rPr>
                <w:rStyle w:val="937"/>
                <w:rFonts w:hint="eastAsia"/>
                <w:color w:val="000000"/>
                <w:sz w:val="21"/>
                <w:szCs w:val="21"/>
                <w:highlight w:val="none"/>
                <w:lang w:val="en-US" w:eastAsia="zh-CN" w:bidi="ar"/>
              </w:rPr>
              <w:t xml:space="preserve">，系统对于自动上报的各类疑似报警的处置状态、结果进行统计分类，并给出统计分析结果，类型包括：报警总数、未确认的报警数、已处置的报警数、处置完结的报警数、林火报警数、非林火报警数、误报数等</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（3）☆具备火点空间定位功能，</w:t>
            </w:r>
            <w:r>
              <w:rPr>
                <w:rStyle w:val="937"/>
                <w:rFonts w:hint="eastAsia"/>
                <w:color w:val="000000"/>
                <w:sz w:val="21"/>
                <w:szCs w:val="21"/>
                <w:highlight w:val="none"/>
                <w:lang w:val="en-US" w:eastAsia="zh-CN" w:bidi="ar"/>
              </w:rPr>
              <w:t xml:space="preserve">对于系统上报的火情信息，可实现火情在三维空间的自动居中放大功能。</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（4）☆具备火情视频联动观察功能，</w:t>
            </w:r>
            <w:r>
              <w:rPr>
                <w:rStyle w:val="937"/>
                <w:rFonts w:hint="eastAsia"/>
                <w:color w:val="000000"/>
                <w:sz w:val="21"/>
                <w:szCs w:val="21"/>
                <w:highlight w:val="none"/>
                <w:lang w:val="en-US" w:eastAsia="zh-CN" w:bidi="ar"/>
              </w:rPr>
              <w:t xml:space="preserve">对于火点周边可视的高点智能监控，系统可以实现一键自动汇聚观察功能。选定合适的搜索半径，系统自动给出理论上能够看到该火情的所有高点监控。</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（5）具备火情信息下发功能，</w:t>
            </w:r>
            <w:r>
              <w:rPr>
                <w:rStyle w:val="937"/>
                <w:rFonts w:hint="eastAsia"/>
                <w:color w:val="000000"/>
                <w:sz w:val="21"/>
                <w:szCs w:val="21"/>
                <w:highlight w:val="none"/>
                <w:lang w:val="en-US" w:eastAsia="zh-CN" w:bidi="ar"/>
              </w:rPr>
              <w:t xml:space="preserve">在火情处置中，一旦确认为需要现场核查处理的疑似或者林区火情时，平台可直接向巡护终端、无人机等进行火情信息发布，将报警信息（主要为火点定位信息、图片）发布给相应的设备、人员、无人机机场。</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（6）☆具备无人机火情协同核查功能，</w:t>
            </w:r>
            <w:r>
              <w:rPr>
                <w:rStyle w:val="937"/>
                <w:rFonts w:hint="eastAsia"/>
                <w:color w:val="000000"/>
                <w:sz w:val="21"/>
                <w:szCs w:val="21"/>
                <w:highlight w:val="none"/>
                <w:lang w:val="en-US" w:eastAsia="zh-CN" w:bidi="ar"/>
              </w:rPr>
              <w:t xml:space="preserve">对需要交叉验证的火情，可指定周边飞行半径覆盖的无人机自动前往火点进行递近侦查活动。选取符合要求的无人机后，设置安全飞行高度后，无人机自动执行前往火点的飞行任务，在平台中可实时接收无人机回传的视频影像。</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（7）具备事件处置详情功能，</w:t>
            </w:r>
            <w:r>
              <w:rPr>
                <w:rStyle w:val="937"/>
                <w:rFonts w:hint="eastAsia"/>
                <w:color w:val="000000"/>
                <w:sz w:val="21"/>
                <w:szCs w:val="21"/>
                <w:highlight w:val="none"/>
                <w:lang w:val="en-US" w:eastAsia="zh-CN" w:bidi="ar"/>
              </w:rPr>
              <w:t xml:space="preserve">系统对火情发生和下发处置的每一步的操作动作都进行了时间、人员的记录，并按照时间轴方式展示在平台中，以便于操作人员清楚的回顾操作流程，压实责任。</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ascii="宋体" w:hAnsi="宋体" w:eastAsia="宋体" w:cs="宋体"/>
                <w:color w:val="000000"/>
                <w:sz w:val="21"/>
                <w:szCs w:val="21"/>
                <w:highlight w:val="none"/>
                <w:lang w:val="en-US" w:eastAsia="zh-CN" w:bidi="ar"/>
              </w:rPr>
              <w:suppressLineNumbers w:val="0"/>
            </w:pPr>
            <w:r>
              <w:rPr>
                <w:rStyle w:val="937"/>
                <w:rFonts w:hint="eastAsia" w:ascii="宋体" w:hAnsi="宋体" w:eastAsia="宋体" w:cs="宋体"/>
                <w:color w:val="000000"/>
                <w:sz w:val="21"/>
                <w:szCs w:val="21"/>
                <w:highlight w:val="none"/>
                <w:lang w:val="en-US" w:eastAsia="zh-CN" w:bidi="ar"/>
              </w:rPr>
              <w:t xml:space="preserve">③扑救预案板块</w:t>
            </w:r>
            <w:r>
              <w:rPr>
                <w:rStyle w:val="937"/>
                <w:rFonts w:hint="eastAsia" w:ascii="宋体" w:hAnsi="宋体" w:eastAsia="宋体" w:cs="宋体"/>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（1）</w:t>
            </w:r>
            <w:r>
              <w:rPr>
                <w:rStyle w:val="937"/>
                <w:rFonts w:hint="eastAsia"/>
                <w:color w:val="000000"/>
                <w:sz w:val="21"/>
                <w:szCs w:val="21"/>
                <w:highlight w:val="none"/>
                <w:lang w:val="en-US" w:eastAsia="zh-CN" w:bidi="ar"/>
              </w:rPr>
              <w:t xml:space="preserve">▲</w:t>
            </w:r>
            <w:r>
              <w:rPr>
                <w:rStyle w:val="937"/>
                <w:rFonts w:hint="eastAsia"/>
                <w:b/>
                <w:bCs/>
                <w:color w:val="000000"/>
                <w:sz w:val="21"/>
                <w:szCs w:val="21"/>
                <w:highlight w:val="none"/>
                <w:lang w:val="en-US" w:eastAsia="zh-CN" w:bidi="ar"/>
              </w:rPr>
              <w:t xml:space="preserve">具备扑救力量实例化功能</w:t>
            </w:r>
            <w:r>
              <w:rPr>
                <w:rStyle w:val="937"/>
                <w:rFonts w:hint="eastAsia"/>
                <w:color w:val="000000"/>
                <w:sz w:val="21"/>
                <w:szCs w:val="21"/>
                <w:highlight w:val="none"/>
                <w:lang w:val="en-US" w:eastAsia="zh-CN" w:bidi="ar"/>
              </w:rPr>
              <w:t xml:space="preserve">，进入指挥扑救阶段时，地图中居中火点位置，可添加参与扑救行动的专业队伍数量，总指挥、各小队指挥人员</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（2）</w:t>
            </w:r>
            <w:r>
              <w:rPr>
                <w:rStyle w:val="937"/>
                <w:rFonts w:hint="eastAsia"/>
                <w:color w:val="000000"/>
                <w:sz w:val="21"/>
                <w:szCs w:val="21"/>
                <w:highlight w:val="none"/>
                <w:lang w:val="en-US" w:eastAsia="zh-CN" w:bidi="ar"/>
              </w:rPr>
              <w:t xml:space="preserve">▲</w:t>
            </w:r>
            <w:r>
              <w:rPr>
                <w:rStyle w:val="937"/>
                <w:rFonts w:hint="eastAsia"/>
                <w:b/>
                <w:bCs/>
                <w:color w:val="000000"/>
                <w:sz w:val="21"/>
                <w:szCs w:val="21"/>
                <w:highlight w:val="none"/>
                <w:lang w:val="en-US" w:eastAsia="zh-CN" w:bidi="ar"/>
              </w:rPr>
              <w:t xml:space="preserve">具备视频会商功能</w:t>
            </w:r>
            <w:r>
              <w:rPr>
                <w:rStyle w:val="937"/>
                <w:rFonts w:hint="eastAsia"/>
                <w:color w:val="000000"/>
                <w:sz w:val="21"/>
                <w:szCs w:val="21"/>
                <w:highlight w:val="none"/>
                <w:lang w:val="en-US" w:eastAsia="zh-CN" w:bidi="ar"/>
              </w:rPr>
              <w:t xml:space="preserve">，可实现移动端、无人机和指挥中心的音视频会商，进行“端到端”、“一对多”协同会商指挥</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t xml:space="preserve">。</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（3）具备蔓延模拟功能</w:t>
            </w:r>
            <w:r>
              <w:rPr>
                <w:rStyle w:val="937"/>
                <w:rFonts w:hint="eastAsia"/>
                <w:color w:val="000000"/>
                <w:sz w:val="21"/>
                <w:szCs w:val="21"/>
                <w:highlight w:val="none"/>
                <w:lang w:val="en-US" w:eastAsia="zh-CN" w:bidi="ar"/>
              </w:rPr>
              <w:t xml:space="preserve">，通过定义火点周边风向、风速、温度、湿度，结合系统部署的林火蔓延模拟模型，根据实际需要的模拟时长，自动生成对应的蔓延模拟区域，以动态播放的形式在地图场景中进行展示。</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（4）☆具备周边资源查询功能，</w:t>
            </w:r>
            <w:r>
              <w:rPr>
                <w:rStyle w:val="937"/>
                <w:rFonts w:hint="eastAsia"/>
                <w:color w:val="000000"/>
                <w:sz w:val="21"/>
                <w:szCs w:val="21"/>
                <w:highlight w:val="none"/>
                <w:lang w:val="en-US" w:eastAsia="zh-CN" w:bidi="ar"/>
              </w:rPr>
              <w:t xml:space="preserve">通过周边资源查询按钮，可实现火点周边不同空间尺度的扑救资源。</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（5）具备态势标绘功能</w:t>
            </w:r>
            <w:r>
              <w:rPr>
                <w:rStyle w:val="937"/>
                <w:rFonts w:hint="eastAsia"/>
                <w:color w:val="000000"/>
                <w:sz w:val="21"/>
                <w:szCs w:val="21"/>
                <w:highlight w:val="none"/>
                <w:lang w:val="en-US" w:eastAsia="zh-CN" w:bidi="ar"/>
              </w:rPr>
              <w:t xml:space="preserve">，可实现围绕扑救行动开展的各项指令的三维地图沙盘模拟</w:t>
            </w:r>
            <w:r>
              <w:rPr>
                <w:rFonts w:hint="eastAsia" w:ascii="宋体" w:hAnsi="宋体" w:cs="宋体"/>
                <w:color w:val="000000"/>
                <w:sz w:val="21"/>
                <w:szCs w:val="21"/>
                <w:highlight w:val="none"/>
                <w:lang w:val="en-US" w:eastAsia="zh-CN"/>
              </w:rPr>
              <w:t xml:space="preserve">（提供功能截图证明材料）。</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color w:val="000000"/>
                <w:sz w:val="21"/>
                <w:szCs w:val="21"/>
                <w:highlight w:val="none"/>
                <w:lang w:val="en-US" w:eastAsia="zh-CN" w:bidi="ar"/>
              </w:rPr>
              <w:suppressLineNumbers w:val="0"/>
            </w:pPr>
            <w:r>
              <w:rPr>
                <w:rStyle w:val="937"/>
                <w:rFonts w:hint="eastAsia"/>
                <w:b/>
                <w:bCs/>
                <w:color w:val="000000"/>
                <w:sz w:val="21"/>
                <w:szCs w:val="21"/>
                <w:highlight w:val="none"/>
                <w:lang w:val="en-US" w:eastAsia="zh-CN" w:bidi="ar"/>
              </w:rPr>
              <w:t xml:space="preserve">（6）☆具备路径规划功能，</w:t>
            </w:r>
            <w:r>
              <w:rPr>
                <w:rStyle w:val="937"/>
                <w:rFonts w:hint="eastAsia"/>
                <w:color w:val="000000"/>
                <w:sz w:val="21"/>
                <w:szCs w:val="21"/>
                <w:highlight w:val="none"/>
                <w:lang w:val="en-US" w:eastAsia="zh-CN" w:bidi="ar"/>
              </w:rPr>
              <w:t xml:space="preserve">随机选取三维地形上任意一点作为起始点，即可根据公共路网数据和林下防火道路数据（如有），自动生成前往火点的路径。</w:t>
            </w:r>
            <w:r>
              <w:rPr>
                <w:rStyle w:val="937"/>
                <w:rFonts w:hint="eastAsia"/>
                <w:color w:val="000000"/>
                <w:sz w:val="21"/>
                <w:szCs w:val="21"/>
                <w:highlight w:val="none"/>
                <w:lang w:val="en-US" w:eastAsia="zh-CN" w:bidi="ar"/>
              </w:rPr>
            </w:r>
            <w:r/>
          </w:p>
          <w:p>
            <w:pPr>
              <w:pStyle w:val="924"/>
              <w:jc w:val="left"/>
              <w:keepLines w:val="0"/>
              <w:keepNext w:val="0"/>
              <w:spacing w:line="240" w:lineRule="auto"/>
              <w:widowControl/>
              <w:rPr>
                <w:rStyle w:val="937"/>
                <w:rFonts w:hint="eastAsia" w:ascii="宋体" w:hAnsi="宋体" w:eastAsia="宋体" w:cs="宋体"/>
                <w:color w:val="000000"/>
                <w:sz w:val="21"/>
                <w:szCs w:val="21"/>
                <w:highlight w:val="none"/>
                <w:lang w:val="en-US" w:eastAsia="zh-CN" w:bidi="ar"/>
              </w:rPr>
              <w:suppressLineNumbers w:val="0"/>
            </w:pPr>
            <w:r>
              <w:rPr>
                <w:rStyle w:val="937"/>
                <w:rFonts w:hint="eastAsia" w:ascii="宋体" w:hAnsi="宋体" w:eastAsia="宋体" w:cs="宋体"/>
                <w:color w:val="000000"/>
                <w:sz w:val="21"/>
                <w:szCs w:val="21"/>
                <w:highlight w:val="none"/>
                <w:lang w:val="en-US" w:eastAsia="zh-CN" w:bidi="ar"/>
              </w:rPr>
              <w:t xml:space="preserve">④灾后管理板块</w:t>
            </w:r>
            <w:r>
              <w:rPr>
                <w:rStyle w:val="937"/>
                <w:rFonts w:hint="eastAsia" w:ascii="宋体" w:hAnsi="宋体" w:eastAsia="宋体" w:cs="宋体"/>
                <w:color w:val="000000"/>
                <w:sz w:val="21"/>
                <w:szCs w:val="21"/>
                <w:highlight w:val="none"/>
                <w:lang w:val="en-US" w:eastAsia="zh-CN" w:bidi="ar"/>
              </w:rPr>
            </w:r>
            <w:r/>
          </w:p>
          <w:p>
            <w:pPr>
              <w:pStyle w:val="924"/>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Style w:val="937"/>
                <w:rFonts w:hint="eastAsia"/>
                <w:color w:val="000000"/>
                <w:sz w:val="21"/>
                <w:szCs w:val="21"/>
                <w:highlight w:val="none"/>
                <w:lang w:val="en-US" w:eastAsia="zh-CN" w:bidi="ar"/>
              </w:rPr>
              <w:t xml:space="preserve">（1）具备森林/芦苇火灾电子档案功能，从火灾发生的基本信息、扑救情况、行政归属、过火面积、地势分析、接警记录等方面进行一次森林/芦苇火灾的全方面记录，考虑到不同林区类型所可能使用到的扑救资源，提供了全套的方案模版，以便于用户根据森林/芦苇火灾发生的实际情况进行填报存档、搜索、导出。</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流媒体存储/分发服务器</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1</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台</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jc w:val="left"/>
              <w:keepLines w:val="0"/>
              <w:keepNext w:val="0"/>
              <w:spacing w:line="240" w:lineRule="auto"/>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（1）CPU≥64位高性能4核处理器；算力≥20TOPS；内存≥12GB；系统盘≥32GB eMMC；数据盘≥16TB*1；</w:t>
            </w:r>
            <w:r>
              <w:rPr>
                <w:rFonts w:ascii="宋体" w:hAnsi="宋体" w:cs="宋体"/>
                <w:i w:val="0"/>
                <w:iCs w:val="0"/>
                <w:color w:val="000000"/>
                <w:sz w:val="21"/>
                <w:szCs w:val="21"/>
                <w:highlight w:val="none"/>
                <w:u w:val="none"/>
                <w:lang w:val="en-US" w:eastAsia="zh-CN" w:bidi="ar"/>
              </w:rPr>
              <w:t xml:space="preserve">网口≥2个千兆网</w:t>
            </w:r>
            <w:r>
              <w:rPr>
                <w:rFonts w:hint="eastAsia" w:ascii="宋体" w:hAnsi="宋体" w:cs="宋体"/>
                <w:i w:val="0"/>
                <w:iCs w:val="0"/>
                <w:color w:val="000000"/>
                <w:sz w:val="21"/>
                <w:szCs w:val="21"/>
                <w:highlight w:val="none"/>
                <w:u w:val="none"/>
                <w:lang w:val="en-US" w:eastAsia="zh-CN" w:bidi="ar"/>
              </w:rPr>
              <w:t xml:space="preserve">口</w:t>
            </w:r>
            <w:r>
              <w:rPr>
                <w:rFonts w:hint="eastAsia" w:ascii="宋体" w:hAnsi="宋体" w:cs="宋体"/>
                <w:i w:val="0"/>
                <w:iCs w:val="0"/>
                <w:color w:val="000000"/>
                <w:sz w:val="21"/>
                <w:szCs w:val="21"/>
                <w:highlight w:val="none"/>
                <w:u w:val="none"/>
                <w:lang w:val="en-US" w:eastAsia="zh-CN" w:bidi="ar"/>
              </w:rPr>
            </w:r>
            <w:r/>
          </w:p>
          <w:p>
            <w:pPr>
              <w:pStyle w:val="924"/>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支持流媒体分发，可同时将图像数据流分发至客户端/解码器/林火检测服务器等；系统支持高清数字码流图像叠加功能，可以将云台的方位角，俯仰角，镜头倍率及观测区域经纬度以半透明方式在大屏及客户端上进行HUD显示:支持与己联网其他流媒体存储/分发服务器无缝级联，可调取已联网的其他流媒体存储/分发服务器上的视频；支持基于国际标准ONVIF协议的主流监控设备的管理；支持远程配备设备参数、设备操作日志跟踪等；支持通过配备文件设定流媒体存储/分发服务器参数，提供系统运行日志</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vMerge w:val="restart"/>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vMerge w:val="restart"/>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后端预警识别服务器</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vMerge w:val="restart"/>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vMerge w:val="restart"/>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rPr>
                <w:rFonts w:hint="eastAsia"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CPU≥64位高性能4核处理器；算力≥20TOPS；内存≥12GB；系统盘≥32GB eMMC；数据盘≥16TB*1；</w:t>
            </w:r>
            <w:r>
              <w:rPr>
                <w:rFonts w:ascii="宋体" w:hAnsi="宋体" w:cs="宋体"/>
                <w:i w:val="0"/>
                <w:iCs w:val="0"/>
                <w:color w:val="000000"/>
                <w:sz w:val="21"/>
                <w:szCs w:val="21"/>
                <w:highlight w:val="none"/>
                <w:u w:val="none"/>
                <w:lang w:val="en-US" w:eastAsia="zh-CN" w:bidi="ar"/>
              </w:rPr>
              <w:t xml:space="preserve">网口≥2个千兆网</w:t>
            </w:r>
            <w:r>
              <w:rPr>
                <w:rFonts w:hint="eastAsia" w:ascii="宋体" w:hAnsi="宋体" w:cs="宋体"/>
                <w:i w:val="0"/>
                <w:iCs w:val="0"/>
                <w:color w:val="000000"/>
                <w:sz w:val="21"/>
                <w:szCs w:val="21"/>
                <w:highlight w:val="none"/>
                <w:u w:val="none"/>
                <w:lang w:val="en-US" w:eastAsia="zh-CN" w:bidi="ar"/>
              </w:rPr>
              <w:t xml:space="preserve">口</w:t>
            </w:r>
            <w:r>
              <w:rPr>
                <w:rFonts w:hint="eastAsia" w:ascii="宋体" w:hAnsi="宋体" w:eastAsia="宋体" w:cs="宋体"/>
                <w:i w:val="0"/>
                <w:iCs w:val="0"/>
                <w:color w:val="000000"/>
                <w:sz w:val="21"/>
                <w:szCs w:val="21"/>
                <w:highlight w:val="none"/>
                <w:u w:val="none"/>
                <w:lang w:val="en-US" w:eastAsia="zh-CN" w:bidi="ar"/>
              </w:rPr>
            </w:r>
            <w:r/>
          </w:p>
          <w:p>
            <w:pPr>
              <w:pStyle w:val="924"/>
              <w:rPr>
                <w:rFonts w:hint="eastAsia" w:ascii="宋体" w:hAnsi="宋体" w:eastAsia="宋体" w:cs="宋体"/>
                <w:i w:val="0"/>
                <w:iCs w:val="0"/>
                <w:color w:val="000000"/>
                <w:sz w:val="21"/>
                <w:szCs w:val="21"/>
                <w:highlight w:val="none"/>
                <w:u w:val="none"/>
                <w:lang w:val="en-US" w:eastAsia="zh-CN" w:bidi="ar"/>
              </w:rPr>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AI边缘增强计算单元可读取监控终端回传的视频数据，并对实时视频进行分析识别，判断监控场景中是否存在疑似火情；支持第三方视频接入与分析。</w:t>
            </w:r>
            <w:r>
              <w:rPr>
                <w:rFonts w:hint="eastAsia" w:ascii="宋体" w:hAnsi="宋体" w:eastAsia="宋体" w:cs="宋体"/>
                <w:i w:val="0"/>
                <w:iCs w:val="0"/>
                <w:color w:val="000000"/>
                <w:sz w:val="21"/>
                <w:szCs w:val="21"/>
                <w:highlight w:val="none"/>
                <w:u w:val="none"/>
                <w:lang w:val="en-US" w:eastAsia="zh-CN" w:bidi="ar"/>
              </w:rPr>
            </w:r>
            <w:r/>
          </w:p>
          <w:p>
            <w:pPr>
              <w:pStyle w:val="924"/>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（3）支持标准H.264/H.265/MJPEG视频解码；支持多级别视频质量配置、编码复杂度设置，支持ONVIF（profile S/profile G）和GB/T28181协议接入；支持GB-T1400视频图像信息应用系统标准；AI边缘增强计算单元支持通过计算机视觉技术，判断相机是否到达预置位，到达指定预置位后系统自动进入检测模式；</w:t>
            </w:r>
            <w:r>
              <w:rPr>
                <w:rFonts w:hint="eastAsia" w:ascii="宋体" w:hAnsi="宋体" w:eastAsia="宋体" w:cs="宋体"/>
                <w:i w:val="0"/>
                <w:iCs w:val="0"/>
                <w:color w:val="000000"/>
                <w:sz w:val="21"/>
                <w:szCs w:val="21"/>
                <w:highlight w:val="none"/>
                <w:u w:val="none"/>
                <w:lang w:val="en-US" w:eastAsia="zh-CN" w:bidi="ar"/>
              </w:rPr>
            </w:r>
            <w:r/>
          </w:p>
          <w:p>
            <w:pPr>
              <w:pStyle w:val="924"/>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AI边缘增强计算单元支持对实时视频的去雾处理；AI边缘增强计算单元支持在有效识别大雾天和阴雨天等异常天气状况后，设备自动停止检测，当天气晴好时，设备自动恢复工作状态；报警日志能自动转发和记录。</w:t>
            </w:r>
            <w:r>
              <w:rPr>
                <w:rFonts w:hint="eastAsia" w:ascii="宋体" w:hAnsi="宋体" w:eastAsia="宋体" w:cs="宋体"/>
                <w:i w:val="0"/>
                <w:iCs w:val="0"/>
                <w:color w:val="000000"/>
                <w:sz w:val="21"/>
                <w:szCs w:val="21"/>
                <w:highlight w:val="none"/>
                <w:u w:val="none"/>
                <w:lang w:val="en-US" w:eastAsia="zh-CN" w:bidi="ar"/>
              </w:rPr>
            </w:r>
            <w:r/>
          </w:p>
          <w:p>
            <w:pPr>
              <w:pStyle w:val="92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5）晴好天气下，识别目标与背景的对比度≥10%时，AI边缘增强计算单元的误报率≤二万分之一（监控系统错误报警的火情次数与总检测次数的比率），漏报率＜二万分之一（在监控范围内视频图像中出现的烟火特征为火情，监控系统未能报警的火情次数与总火情次数的比率）。</w:t>
            </w:r>
            <w:r>
              <w:rPr>
                <w:rFonts w:hint="eastAsia" w:ascii="宋体" w:hAnsi="宋体" w:eastAsia="宋体" w:cs="宋体"/>
                <w:i w:val="0"/>
                <w:iCs w:val="0"/>
                <w:color w:val="000000"/>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大模型服务器(含内置算法）</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924"/>
              <w:rPr>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1</w:t>
            </w:r>
            <w:r>
              <w:rPr>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924"/>
              <w:rPr>
                <w:rFonts w:hint="eastAsia" w:ascii="宋体" w:hAnsi="宋体" w:eastAsia="宋体" w:cs="宋体"/>
                <w:color w:val="000000"/>
                <w:highlight w:val="none"/>
              </w:rPr>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color w:val="000000"/>
                <w:highlight w:val="none"/>
              </w:rPr>
            </w:r>
            <w:r/>
          </w:p>
          <w:p>
            <w:pPr>
              <w:pStyle w:val="92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pStyle w:val="924"/>
              <w:rPr>
                <w:rStyle w:val="936"/>
                <w:rFonts w:hint="eastAsia" w:ascii="宋体" w:hAnsi="宋体" w:eastAsia="宋体" w:cs="宋体"/>
                <w:color w:val="000000"/>
                <w:sz w:val="21"/>
                <w:szCs w:val="21"/>
                <w:highlight w:val="none"/>
                <w:lang w:val="en-US" w:eastAsia="zh-CN" w:bidi="ar"/>
              </w:rPr>
            </w:pPr>
            <w:r>
              <w:rPr>
                <w:rStyle w:val="936"/>
                <w:rFonts w:hint="eastAsia" w:ascii="宋体" w:hAnsi="宋体" w:eastAsia="宋体" w:cs="宋体"/>
                <w:color w:val="000000"/>
                <w:sz w:val="21"/>
                <w:szCs w:val="21"/>
                <w:highlight w:val="none"/>
                <w:lang w:val="en-US" w:eastAsia="zh-CN" w:bidi="ar"/>
              </w:rPr>
              <w:t xml:space="preserve">（1）CPU：</w:t>
            </w:r>
            <w:r>
              <w:rPr>
                <w:rFonts w:hint="eastAsia" w:ascii="宋体" w:hAnsi="宋体" w:eastAsia="宋体" w:cs="宋体"/>
                <w:i w:val="0"/>
                <w:iCs w:val="0"/>
                <w:color w:val="000000"/>
                <w:sz w:val="21"/>
                <w:szCs w:val="21"/>
                <w:highlight w:val="none"/>
                <w:u w:val="none"/>
                <w:lang w:val="en-US" w:eastAsia="zh-CN" w:bidi="ar"/>
              </w:rPr>
              <w:t xml:space="preserve">≥</w:t>
            </w:r>
            <w:r>
              <w:rPr>
                <w:rStyle w:val="937"/>
                <w:rFonts w:hint="eastAsia" w:ascii="宋体" w:hAnsi="宋体" w:eastAsia="宋体" w:cs="宋体"/>
                <w:color w:val="000000"/>
                <w:sz w:val="21"/>
                <w:szCs w:val="21"/>
                <w:highlight w:val="none"/>
                <w:lang w:val="en-US" w:eastAsia="zh-CN" w:bidi="ar"/>
              </w:rPr>
              <w:t xml:space="preserve">(</w:t>
            </w:r>
            <w:r>
              <w:rPr>
                <w:rStyle w:val="937"/>
                <w:rFonts w:hint="eastAsia" w:ascii="宋体" w:hAnsi="宋体" w:cs="宋体"/>
                <w:color w:val="000000"/>
                <w:sz w:val="21"/>
                <w:szCs w:val="21"/>
                <w:highlight w:val="none"/>
                <w:lang w:val="en-US" w:eastAsia="zh-CN" w:bidi="ar"/>
              </w:rPr>
              <w:t xml:space="preserve">16核32线程，</w:t>
            </w:r>
            <w:r>
              <w:rPr>
                <w:rFonts w:hint="eastAsia" w:ascii="宋体" w:hAnsi="宋体" w:eastAsia="宋体" w:cs="宋体"/>
                <w:i w:val="0"/>
                <w:iCs w:val="0"/>
                <w:color w:val="000000"/>
                <w:sz w:val="21"/>
                <w:szCs w:val="21"/>
                <w:highlight w:val="none"/>
                <w:u w:val="none"/>
                <w:lang w:val="en-US" w:eastAsia="zh-CN" w:bidi="ar"/>
              </w:rPr>
              <w:t xml:space="preserve">2.5G)*1</w:t>
            </w:r>
            <w:r>
              <w:rPr>
                <w:rStyle w:val="936"/>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i w:val="0"/>
                <w:iCs w:val="0"/>
                <w:color w:val="000000"/>
                <w:sz w:val="21"/>
                <w:szCs w:val="21"/>
                <w:highlight w:val="none"/>
                <w:u w:val="none"/>
                <w:lang w:val="en-US" w:eastAsia="zh-CN" w:bidi="ar"/>
              </w:rPr>
              <w:t xml:space="preserve">≥</w:t>
            </w:r>
            <w:r>
              <w:rPr>
                <w:rStyle w:val="936"/>
                <w:rFonts w:hint="eastAsia" w:ascii="宋体" w:hAnsi="宋体" w:eastAsia="宋体" w:cs="宋体"/>
                <w:color w:val="000000"/>
                <w:sz w:val="21"/>
                <w:szCs w:val="21"/>
                <w:highlight w:val="none"/>
                <w:lang w:val="en-US" w:eastAsia="zh-CN" w:bidi="ar"/>
              </w:rPr>
              <w:t xml:space="preserve">32GB；系统盘</w:t>
            </w:r>
            <w:r>
              <w:rPr>
                <w:rFonts w:hint="eastAsia" w:ascii="宋体" w:hAnsi="宋体" w:eastAsia="宋体" w:cs="宋体"/>
                <w:i w:val="0"/>
                <w:iCs w:val="0"/>
                <w:color w:val="000000"/>
                <w:sz w:val="21"/>
                <w:szCs w:val="21"/>
                <w:highlight w:val="none"/>
                <w:u w:val="none"/>
                <w:lang w:val="en-US" w:eastAsia="zh-CN" w:bidi="ar"/>
              </w:rPr>
              <w:t xml:space="preserve">≥</w:t>
            </w:r>
            <w:r>
              <w:rPr>
                <w:rStyle w:val="936"/>
                <w:rFonts w:hint="eastAsia" w:ascii="宋体" w:hAnsi="宋体" w:eastAsia="宋体" w:cs="宋体"/>
                <w:color w:val="000000"/>
                <w:sz w:val="21"/>
                <w:szCs w:val="21"/>
                <w:highlight w:val="none"/>
                <w:lang w:val="en-US" w:eastAsia="zh-CN" w:bidi="ar"/>
              </w:rPr>
              <w:t xml:space="preserve">480GBSSD；数据盘</w:t>
            </w:r>
            <w:r>
              <w:rPr>
                <w:rFonts w:hint="eastAsia" w:ascii="宋体" w:hAnsi="宋体" w:eastAsia="宋体" w:cs="宋体"/>
                <w:i w:val="0"/>
                <w:iCs w:val="0"/>
                <w:color w:val="000000"/>
                <w:sz w:val="21"/>
                <w:szCs w:val="21"/>
                <w:highlight w:val="none"/>
                <w:u w:val="none"/>
                <w:lang w:val="en-US" w:eastAsia="zh-CN" w:bidi="ar"/>
              </w:rPr>
              <w:t xml:space="preserve">≥</w:t>
            </w:r>
            <w:r>
              <w:rPr>
                <w:rStyle w:val="936"/>
                <w:rFonts w:hint="eastAsia" w:ascii="宋体" w:hAnsi="宋体" w:eastAsia="宋体" w:cs="宋体"/>
                <w:color w:val="000000"/>
                <w:sz w:val="21"/>
                <w:szCs w:val="21"/>
                <w:highlight w:val="none"/>
                <w:lang w:val="en-US" w:eastAsia="zh-CN" w:bidi="ar"/>
              </w:rPr>
              <w:t xml:space="preserve">1TB；</w:t>
            </w:r>
            <w:r>
              <w:rPr>
                <w:rFonts w:hint="eastAsia" w:ascii="宋体" w:hAnsi="宋体" w:eastAsia="宋体" w:cs="宋体"/>
                <w:i w:val="0"/>
                <w:iCs w:val="0"/>
                <w:color w:val="000000"/>
                <w:sz w:val="21"/>
                <w:szCs w:val="21"/>
                <w:highlight w:val="none"/>
                <w:u w:val="none"/>
                <w:lang w:val="en-US" w:eastAsia="zh-CN" w:bidi="ar"/>
              </w:rPr>
              <w:t xml:space="preserve">计算卡：1张，INT8 ≥100 TOPS</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FP16 ≥50 TFLOPS</w:t>
            </w:r>
            <w:r>
              <w:rPr>
                <w:rStyle w:val="936"/>
                <w:rFonts w:hint="eastAsia" w:ascii="宋体" w:hAnsi="宋体" w:eastAsia="宋体" w:cs="宋体"/>
                <w:color w:val="000000"/>
                <w:sz w:val="21"/>
                <w:szCs w:val="21"/>
                <w:highlight w:val="none"/>
                <w:lang w:val="en-US" w:eastAsia="zh-CN" w:bidi="ar"/>
              </w:rPr>
              <w:t xml:space="preserve">；网卡：</w:t>
            </w:r>
            <w:r>
              <w:rPr>
                <w:rFonts w:hint="eastAsia" w:ascii="宋体" w:hAnsi="宋体" w:eastAsia="宋体" w:cs="宋体"/>
                <w:i w:val="0"/>
                <w:iCs w:val="0"/>
                <w:color w:val="000000"/>
                <w:sz w:val="21"/>
                <w:szCs w:val="21"/>
                <w:highlight w:val="none"/>
                <w:u w:val="none"/>
                <w:lang w:val="en-US" w:eastAsia="zh-CN" w:bidi="ar"/>
              </w:rPr>
              <w:t xml:space="preserve">≥</w:t>
            </w:r>
            <w:r>
              <w:rPr>
                <w:rStyle w:val="936"/>
                <w:rFonts w:hint="eastAsia" w:ascii="宋体" w:hAnsi="宋体" w:eastAsia="宋体" w:cs="宋体"/>
                <w:color w:val="000000"/>
                <w:sz w:val="21"/>
                <w:szCs w:val="21"/>
                <w:highlight w:val="none"/>
                <w:lang w:val="en-US" w:eastAsia="zh-CN" w:bidi="ar"/>
              </w:rPr>
              <w:t xml:space="preserve">2个千兆网口。</w:t>
            </w:r>
            <w:r>
              <w:rPr>
                <w:rStyle w:val="936"/>
                <w:rFonts w:hint="eastAsia" w:ascii="宋体" w:hAnsi="宋体" w:eastAsia="宋体" w:cs="宋体"/>
                <w:color w:val="000000"/>
                <w:sz w:val="21"/>
                <w:szCs w:val="21"/>
                <w:highlight w:val="none"/>
                <w:lang w:val="en-US" w:eastAsia="zh-CN" w:bidi="ar"/>
              </w:rPr>
            </w:r>
            <w:r/>
          </w:p>
          <w:p>
            <w:pPr>
              <w:pStyle w:val="924"/>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大模型须具备构建</w:t>
            </w:r>
            <w:r>
              <w:rPr>
                <w:rFonts w:hint="eastAsia" w:ascii="Arial" w:hAnsi="Arial" w:cs="Arial"/>
                <w:i w:val="0"/>
                <w:iCs w:val="0"/>
                <w:color w:val="000000"/>
                <w:sz w:val="21"/>
                <w:szCs w:val="21"/>
                <w:highlight w:val="none"/>
                <w:u w:val="none"/>
                <w:lang w:val="en-US" w:eastAsia="zh-CN" w:bidi="ar"/>
              </w:rPr>
              <w:t xml:space="preserve">不少于</w:t>
            </w:r>
            <w:r>
              <w:rPr>
                <w:rFonts w:hint="eastAsia" w:ascii="宋体" w:hAnsi="宋体" w:eastAsia="宋体" w:cs="宋体"/>
                <w:i w:val="0"/>
                <w:iCs w:val="0"/>
                <w:color w:val="000000"/>
                <w:sz w:val="21"/>
                <w:szCs w:val="21"/>
                <w:highlight w:val="none"/>
                <w:u w:val="none"/>
                <w:lang w:val="en-US" w:eastAsia="zh-CN" w:bidi="ar"/>
              </w:rPr>
              <w:t xml:space="preserve">20项林业子任务的优化和评测标准，以保证其综合能力和行业能力；场景识别：无论是阔叶林还是针叶林，能够精确描述并识别各种环境下的场景特点，同时对天气、雾霾等环境因子进行实时捕捉；目标检测与分析：火灾预警监测、施工行为，烟雾源头的细粒度分析；林业知识学习：持续吸收和学习</w:t>
            </w:r>
            <w:r>
              <w:rPr>
                <w:rFonts w:hint="eastAsia" w:ascii="宋体" w:hAnsi="宋体" w:cs="宋体"/>
                <w:i w:val="0"/>
                <w:iCs w:val="0"/>
                <w:color w:val="000000"/>
                <w:sz w:val="21"/>
                <w:szCs w:val="21"/>
                <w:highlight w:val="none"/>
                <w:u w:val="none"/>
                <w:lang w:val="en-US" w:eastAsia="zh-CN" w:bidi="ar"/>
              </w:rPr>
              <w:t xml:space="preserve">森林/芦苇</w:t>
            </w:r>
            <w:r>
              <w:rPr>
                <w:rFonts w:hint="eastAsia" w:ascii="宋体" w:hAnsi="宋体" w:eastAsia="宋体" w:cs="宋体"/>
                <w:i w:val="0"/>
                <w:iCs w:val="0"/>
                <w:color w:val="000000"/>
                <w:sz w:val="21"/>
                <w:szCs w:val="21"/>
                <w:highlight w:val="none"/>
                <w:u w:val="none"/>
                <w:lang w:val="en-US" w:eastAsia="zh-CN" w:bidi="ar"/>
              </w:rPr>
              <w:t xml:space="preserve">病害、虫害信息、野生动物种类、林地变化趋势，使其在林业知识方面持续进步；场景语义理解：对于林区、水体、建筑、天空等多样化的场景元素，均可进行深入的语义识别与理解；跨模态对齐；中英文对话、领域知识、图像与文本间的深度对齐，数据交互和信息整合流畅。</w:t>
            </w:r>
            <w:r>
              <w:rPr>
                <w:rFonts w:hint="eastAsia" w:ascii="宋体" w:hAnsi="宋体" w:eastAsia="宋体" w:cs="宋体"/>
                <w:i w:val="0"/>
                <w:iCs w:val="0"/>
                <w:color w:val="000000"/>
                <w:sz w:val="21"/>
                <w:szCs w:val="21"/>
                <w:highlight w:val="none"/>
                <w:u w:val="none"/>
              </w:rPr>
            </w:r>
            <w:r/>
          </w:p>
        </w:tc>
      </w:tr>
    </w:tbl>
    <w:p>
      <w:pPr>
        <w:pStyle w:val="924"/>
        <w:ind w:firstLine="48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pStyle w:val="924"/>
        <w:ind w:firstLine="480"/>
        <w:keepLines w:val="0"/>
        <w:keepNext w:val="0"/>
        <w:pageBreakBefore w:val="0"/>
        <w:spacing w:line="360" w:lineRule="auto"/>
        <w:widowControl w:val="off"/>
        <w:tabs>
          <w:tab w:val="left" w:pos="437"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（二）功能要求</w:t>
      </w:r>
      <w:r>
        <w:rPr>
          <w:rFonts w:hint="eastAsia" w:ascii="宋体" w:hAnsi="宋体" w:cs="宋体"/>
          <w:sz w:val="24"/>
          <w:szCs w:val="24"/>
          <w:lang w:val="en-US" w:eastAsia="zh-CN"/>
        </w:rPr>
      </w:r>
      <w:r/>
    </w:p>
    <w:p>
      <w:pPr>
        <w:pStyle w:val="924"/>
        <w:ind w:left="0" w:right="0"/>
        <w:jc w:val="left"/>
        <w:keepLines w:val="0"/>
        <w:keepNext w:val="0"/>
        <w:spacing w:before="0" w:beforeAutospacing="0" w:after="0" w:afterAutospacing="0" w:line="206" w:lineRule="atLeas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Style w:val="938"/>
          <w:rFonts w:hint="eastAsia" w:ascii="宋体" w:hAnsi="宋体" w:eastAsia="宋体" w:cs="宋体"/>
          <w:b w:val="0"/>
          <w:bCs w:val="0"/>
          <w:color w:val="000000"/>
          <w:sz w:val="24"/>
          <w:szCs w:val="24"/>
          <w:lang w:val="en-US" w:eastAsia="zh-CN" w:bidi="ar"/>
        </w:rPr>
        <w:t xml:space="preserve">1.</w:t>
      </w:r>
      <w:r>
        <w:rPr>
          <w:rStyle w:val="938"/>
          <w:rFonts w:hint="eastAsia" w:ascii="宋体" w:hAnsi="宋体" w:eastAsia="宋体" w:cs="宋体"/>
          <w:b/>
          <w:bCs/>
          <w:color w:val="000000"/>
          <w:sz w:val="24"/>
          <w:szCs w:val="24"/>
          <w:lang w:val="en-US" w:eastAsia="zh-CN" w:bidi="ar"/>
        </w:rPr>
        <w:t xml:space="preserve">布点组网全域覆盖，夯实监测基础</w:t>
      </w:r>
      <w:r>
        <w:rPr>
          <w:rFonts w:hint="eastAsia" w:ascii="宋体" w:hAnsi="宋体" w:eastAsia="宋体" w:cs="宋体"/>
          <w:color w:val="000000"/>
          <w:sz w:val="24"/>
          <w:szCs w:val="24"/>
          <w:lang w:val="en-US" w:eastAsia="zh-CN" w:bidi="ar"/>
        </w:rPr>
        <w:t xml:space="preserve">科学布设一体化视频监控点位，依托高点瞭望、高清摄像等设备优势，全面覆盖辖区重点林区、防火关键区域，监测盲区与死角，实现林区火情、隐患、可视化全域实时监测，构建立体化前端感知网络。</w:t>
      </w:r>
      <w:r>
        <w:rPr>
          <w:rFonts w:hint="eastAsia" w:ascii="宋体" w:hAnsi="宋体" w:eastAsia="宋体" w:cs="宋体"/>
          <w:color w:val="000000"/>
          <w:sz w:val="24"/>
          <w:szCs w:val="24"/>
        </w:rPr>
      </w:r>
      <w:r/>
    </w:p>
    <w:p>
      <w:pPr>
        <w:pStyle w:val="924"/>
        <w:ind w:left="0" w:right="0"/>
        <w:jc w:val="left"/>
        <w:keepLines w:val="0"/>
        <w:keepNext w:val="0"/>
        <w:spacing w:before="0" w:beforeAutospacing="0" w:after="0" w:afterAutospacing="0" w:line="206" w:lineRule="atLeas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rPr>
        <w:t xml:space="preserve">2.</w:t>
      </w:r>
      <w:r>
        <w:rPr>
          <w:rStyle w:val="938"/>
          <w:rFonts w:hint="eastAsia" w:ascii="宋体" w:hAnsi="宋体" w:eastAsia="宋体" w:cs="宋体"/>
          <w:b/>
          <w:bCs/>
          <w:color w:val="000000"/>
          <w:sz w:val="24"/>
          <w:szCs w:val="24"/>
          <w:lang w:val="en-US" w:eastAsia="zh-CN" w:bidi="ar"/>
        </w:rPr>
        <w:t xml:space="preserve">AI 智能识别赋能，实现火情早预警</w:t>
      </w:r>
      <w:r>
        <w:rPr>
          <w:rFonts w:hint="eastAsia" w:ascii="宋体" w:hAnsi="宋体" w:eastAsia="宋体" w:cs="宋体"/>
          <w:color w:val="000000"/>
          <w:sz w:val="24"/>
          <w:szCs w:val="24"/>
          <w:lang w:val="en-US" w:eastAsia="zh-CN" w:bidi="ar"/>
        </w:rPr>
        <w:t xml:space="preserve">深度融合人工智能烟火智能识别技术，系统可自动精准识别烟雾、明火等火灾特征要素，摒弃传统人工巡检短板，一旦捕捉到火情隐患，即刻触发弹窗、平台告警，秒级推送预警信息，实现</w:t>
      </w:r>
      <w:r>
        <w:rPr>
          <w:rStyle w:val="938"/>
          <w:rFonts w:hint="eastAsia" w:ascii="宋体" w:hAnsi="宋体" w:eastAsia="宋体" w:cs="宋体"/>
          <w:b/>
          <w:bCs/>
          <w:color w:val="000000"/>
          <w:sz w:val="24"/>
          <w:szCs w:val="24"/>
          <w:lang w:val="en-US" w:eastAsia="zh-CN" w:bidi="ar"/>
        </w:rPr>
        <w:t xml:space="preserve">早发现、早预警、早处置</w:t>
      </w:r>
      <w:r>
        <w:rPr>
          <w:rFonts w:hint="eastAsia" w:ascii="宋体" w:hAnsi="宋体" w:eastAsia="宋体" w:cs="宋体"/>
          <w:color w:val="000000"/>
          <w:sz w:val="24"/>
          <w:szCs w:val="24"/>
          <w:lang w:val="en-US" w:eastAsia="zh-CN" w:bidi="ar"/>
        </w:rPr>
        <w:t xml:space="preserve">，大幅压缩火情处置响应时间。</w:t>
      </w:r>
      <w:r>
        <w:rPr>
          <w:rFonts w:hint="eastAsia" w:ascii="宋体" w:hAnsi="宋体" w:eastAsia="宋体" w:cs="宋体"/>
          <w:color w:val="000000"/>
          <w:sz w:val="24"/>
          <w:szCs w:val="24"/>
        </w:rPr>
      </w:r>
      <w:r/>
    </w:p>
    <w:p>
      <w:pPr>
        <w:pStyle w:val="924"/>
        <w:ind w:left="0" w:right="0"/>
        <w:jc w:val="left"/>
        <w:keepLines w:val="0"/>
        <w:keepNext w:val="0"/>
        <w:spacing w:before="0" w:beforeAutospacing="0" w:after="0" w:afterAutospacing="0" w:line="206" w:lineRule="atLeas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rPr>
        <w:t xml:space="preserve">3.</w:t>
      </w:r>
      <w:r>
        <w:rPr>
          <w:rStyle w:val="938"/>
          <w:rFonts w:hint="eastAsia" w:ascii="宋体" w:hAnsi="宋体" w:eastAsia="宋体" w:cs="宋体"/>
          <w:b/>
          <w:bCs/>
          <w:color w:val="000000"/>
          <w:sz w:val="24"/>
          <w:szCs w:val="24"/>
          <w:lang w:val="en-US" w:eastAsia="zh-CN" w:bidi="ar"/>
        </w:rPr>
        <w:t xml:space="preserve">全天候值守管控，筑牢防火防线</w:t>
      </w:r>
      <w:r>
        <w:rPr>
          <w:rStyle w:val="938"/>
          <w:rFonts w:hint="eastAsia" w:ascii="宋体" w:hAnsi="宋体" w:cs="宋体"/>
          <w:b/>
          <w:bCs/>
          <w:color w:val="000000"/>
          <w:sz w:val="24"/>
          <w:szCs w:val="24"/>
          <w:lang w:val="en-US" w:eastAsia="zh-CN" w:bidi="ar"/>
        </w:rPr>
        <w:t xml:space="preserve"> </w:t>
      </w:r>
      <w:r>
        <w:rPr>
          <w:rFonts w:hint="eastAsia" w:ascii="宋体" w:hAnsi="宋体" w:eastAsia="宋体" w:cs="宋体"/>
          <w:color w:val="000000"/>
          <w:sz w:val="24"/>
          <w:szCs w:val="24"/>
          <w:lang w:val="en-US" w:eastAsia="zh-CN" w:bidi="ar"/>
        </w:rPr>
        <w:t xml:space="preserve">搭建集中值守运维体系，实行 7×24 小时不间断值守巡查，可实时调取画面、回看录像、研判态势，常态化开展林区动态巡查，及时排查野外违规用火隐患等风险，全天候守住</w:t>
      </w:r>
      <w:r>
        <w:rPr>
          <w:rFonts w:hint="eastAsia" w:ascii="宋体" w:hAnsi="宋体" w:cs="宋体"/>
          <w:color w:val="000000"/>
          <w:sz w:val="24"/>
          <w:szCs w:val="24"/>
          <w:lang w:val="en-US" w:eastAsia="zh-CN" w:bidi="ar"/>
        </w:rPr>
        <w:t xml:space="preserve">森林/芦苇</w:t>
      </w:r>
      <w:r>
        <w:rPr>
          <w:rFonts w:hint="eastAsia" w:ascii="宋体" w:hAnsi="宋体" w:eastAsia="宋体" w:cs="宋体"/>
          <w:color w:val="000000"/>
          <w:sz w:val="24"/>
          <w:szCs w:val="24"/>
          <w:lang w:val="en-US" w:eastAsia="zh-CN" w:bidi="ar"/>
        </w:rPr>
        <w:t xml:space="preserve">防火安全底线。</w:t>
      </w:r>
      <w:r>
        <w:rPr>
          <w:rFonts w:hint="eastAsia" w:ascii="宋体" w:hAnsi="宋体" w:eastAsia="宋体" w:cs="宋体"/>
          <w:color w:val="000000"/>
          <w:sz w:val="24"/>
          <w:szCs w:val="24"/>
        </w:rPr>
      </w:r>
      <w:r/>
    </w:p>
    <w:p>
      <w:pPr>
        <w:pStyle w:val="924"/>
        <w:ind w:left="0" w:right="0"/>
        <w:jc w:val="left"/>
        <w:keepLines w:val="0"/>
        <w:keepNext w:val="0"/>
        <w:spacing w:before="0" w:beforeAutospacing="0" w:after="0" w:afterAutospacing="0" w:line="206" w:lineRule="atLeas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rPr>
        <w:t xml:space="preserve">4.</w:t>
      </w:r>
      <w:r>
        <w:rPr>
          <w:rStyle w:val="938"/>
          <w:rFonts w:hint="eastAsia" w:ascii="宋体" w:hAnsi="宋体" w:eastAsia="宋体" w:cs="宋体"/>
          <w:b/>
          <w:bCs/>
          <w:color w:val="000000"/>
          <w:sz w:val="24"/>
          <w:szCs w:val="24"/>
          <w:lang w:val="en-US" w:eastAsia="zh-CN" w:bidi="ar"/>
        </w:rPr>
        <w:t xml:space="preserve">多级平台互联互通，协同高效联动</w:t>
      </w:r>
      <w:r>
        <w:rPr>
          <w:rFonts w:hint="eastAsia" w:ascii="宋体" w:hAnsi="宋体" w:eastAsia="宋体" w:cs="宋体"/>
          <w:color w:val="000000"/>
          <w:sz w:val="24"/>
          <w:szCs w:val="24"/>
          <w:lang w:val="en-US" w:eastAsia="zh-CN" w:bidi="ar"/>
        </w:rPr>
        <w:t xml:space="preserve">完成系统软硬件一体化对接，实现省、</w:t>
      </w:r>
      <w:r>
        <w:rPr>
          <w:rFonts w:hint="eastAsia" w:ascii="宋体" w:hAnsi="宋体" w:cs="宋体"/>
          <w:color w:val="000000"/>
          <w:sz w:val="24"/>
          <w:szCs w:val="24"/>
          <w:lang w:val="en-US" w:eastAsia="zh-CN" w:bidi="ar"/>
        </w:rPr>
        <w:t xml:space="preserve">保护区</w:t>
      </w:r>
      <w:r>
        <w:rPr>
          <w:rFonts w:hint="eastAsia" w:ascii="宋体" w:hAnsi="宋体" w:eastAsia="宋体" w:cs="宋体"/>
          <w:color w:val="000000"/>
          <w:sz w:val="24"/>
          <w:szCs w:val="24"/>
          <w:lang w:val="en-US" w:eastAsia="zh-CN" w:bidi="ar"/>
        </w:rPr>
        <w:t xml:space="preserve">林草防火平台数据互通、资源共享、视频互联、业务联动，打破信息壁垒，监测数据、告警信息、现场画面可实时上传同步，健全上下联动、协同处置的防火工作机制，提升全域</w:t>
      </w:r>
      <w:r>
        <w:rPr>
          <w:rFonts w:hint="eastAsia" w:ascii="宋体" w:hAnsi="宋体" w:cs="宋体"/>
          <w:color w:val="000000"/>
          <w:sz w:val="24"/>
          <w:szCs w:val="24"/>
          <w:lang w:val="en-US" w:eastAsia="zh-CN" w:bidi="ar"/>
        </w:rPr>
        <w:t xml:space="preserve">森林/芦苇</w:t>
      </w:r>
      <w:r>
        <w:rPr>
          <w:rFonts w:hint="eastAsia" w:ascii="宋体" w:hAnsi="宋体" w:eastAsia="宋体" w:cs="宋体"/>
          <w:color w:val="000000"/>
          <w:sz w:val="24"/>
          <w:szCs w:val="24"/>
          <w:lang w:val="en-US" w:eastAsia="zh-CN" w:bidi="ar"/>
        </w:rPr>
        <w:t xml:space="preserve">火灾综合防控与应急指挥能力。</w:t>
      </w:r>
      <w:r>
        <w:rPr>
          <w:rFonts w:hint="eastAsia" w:ascii="宋体" w:hAnsi="宋体" w:eastAsia="宋体" w:cs="宋体"/>
          <w:color w:val="000000"/>
          <w:sz w:val="24"/>
          <w:szCs w:val="24"/>
        </w:rPr>
      </w:r>
      <w:r/>
    </w:p>
    <w:p>
      <w:pPr>
        <w:pStyle w:val="924"/>
        <w:rPr>
          <w:rFonts w:ascii="宋体" w:hAnsi="宋体" w:cs="宋体"/>
          <w:sz w:val="24"/>
          <w:szCs w:val="24"/>
          <w:lang w:val="en-US" w:eastAsia="zh-CN"/>
        </w:rPr>
      </w:pPr>
      <w:r>
        <w:rPr>
          <w:rFonts w:ascii="宋体" w:hAnsi="宋体" w:cs="宋体"/>
          <w:sz w:val="24"/>
          <w:szCs w:val="24"/>
          <w:lang w:val="en-US" w:eastAsia="zh-CN"/>
        </w:rPr>
      </w:r>
      <w:r/>
    </w:p>
    <w:p>
      <w:pPr>
        <w:pStyle w:val="924"/>
        <w:ind w:firstLine="480"/>
        <w:keepLines w:val="0"/>
        <w:keepNext w:val="0"/>
        <w:pageBreakBefore w:val="0"/>
        <w:spacing w:line="360" w:lineRule="auto"/>
        <w:widowControl w:val="off"/>
        <w:rPr>
          <w:rFonts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现状</w:t>
      </w:r>
      <w:r>
        <w:rPr>
          <w:rFonts w:hint="eastAsia" w:ascii="宋体" w:hAnsi="宋体" w:eastAsia="宋体" w:cs="宋体"/>
          <w:sz w:val="24"/>
          <w:szCs w:val="24"/>
          <w:lang w:val="en-US" w:eastAsia="zh-CN"/>
        </w:rPr>
        <w:t xml:space="preserve">分析和理解</w:t>
      </w:r>
      <w:r>
        <w:rPr>
          <w:rFonts w:hint="eastAsia" w:ascii="宋体" w:hAnsi="宋体" w:cs="宋体"/>
          <w:sz w:val="24"/>
          <w:szCs w:val="24"/>
          <w:lang w:val="en-US" w:eastAsia="zh-CN"/>
        </w:rPr>
        <w:t xml:space="preserve">方案</w:t>
      </w:r>
      <w:r>
        <w:rPr>
          <w:rFonts w:ascii="宋体" w:hAnsi="宋体" w:eastAsia="宋体" w:cs="宋体"/>
          <w:sz w:val="24"/>
          <w:szCs w:val="24"/>
          <w:lang w:val="en-US" w:eastAsia="zh-CN"/>
        </w:rPr>
      </w:r>
      <w:r/>
    </w:p>
    <w:p>
      <w:pPr>
        <w:pStyle w:val="924"/>
        <w:ind w:firstLine="480"/>
        <w:keepLines w:val="0"/>
        <w:keepNext w:val="0"/>
        <w:pageBreakBefore w:val="0"/>
        <w:spacing w:line="360" w:lineRule="auto"/>
        <w:shd w:val="clear" w:color="auto" w:fill="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包括但不限于：</w:t>
      </w:r>
      <w:r>
        <w:rPr>
          <w:rFonts w:hint="eastAsia" w:ascii="宋体" w:hAnsi="宋体" w:cs="宋体"/>
          <w:sz w:val="24"/>
          <w:szCs w:val="24"/>
          <w:highlight w:val="none"/>
          <w:lang w:val="en-US" w:eastAsia="zh-CN"/>
        </w:rPr>
        <w:t xml:space="preserve">项目建设现状分析、</w:t>
      </w:r>
      <w:r>
        <w:rPr>
          <w:rFonts w:hint="eastAsia" w:ascii="宋体" w:hAnsi="宋体" w:eastAsia="宋体" w:cs="宋体"/>
          <w:sz w:val="24"/>
          <w:szCs w:val="24"/>
          <w:highlight w:val="none"/>
          <w:lang w:val="en-US" w:eastAsia="zh-CN"/>
        </w:rPr>
        <w:t xml:space="preserve">建设目标、建设内容</w:t>
      </w:r>
      <w:r>
        <w:rPr>
          <w:rFonts w:hint="eastAsia" w:ascii="宋体" w:hAnsi="宋体" w:cs="宋体"/>
          <w:sz w:val="24"/>
          <w:szCs w:val="24"/>
          <w:highlight w:val="none"/>
          <w:lang w:val="en-US" w:eastAsia="zh-CN"/>
        </w:rPr>
        <w:t xml:space="preserve">、重难点等，</w:t>
      </w:r>
      <w:r>
        <w:rPr>
          <w:rFonts w:hint="eastAsia" w:ascii="宋体" w:hAnsi="宋体" w:eastAsia="宋体" w:cs="宋体"/>
          <w:sz w:val="24"/>
          <w:szCs w:val="24"/>
          <w:highlight w:val="none"/>
          <w:lang w:val="en-US" w:eastAsia="zh-CN"/>
        </w:rPr>
        <w:t xml:space="preserve">针对本项目的建设内容及技术要求进行详细分析和深入理解，</w:t>
      </w:r>
      <w:r>
        <w:rPr>
          <w:rFonts w:hint="eastAsia" w:ascii="宋体" w:hAnsi="宋体" w:cs="宋体"/>
          <w:sz w:val="24"/>
          <w:szCs w:val="24"/>
          <w:highlight w:val="none"/>
          <w:lang w:val="en-US" w:eastAsia="zh-CN"/>
        </w:rPr>
        <w:t xml:space="preserve">能够剖析项目建设重点、</w:t>
      </w:r>
      <w:r>
        <w:rPr>
          <w:rFonts w:hint="eastAsia" w:ascii="宋体" w:hAnsi="宋体" w:eastAsia="宋体" w:cs="宋体"/>
          <w:sz w:val="24"/>
          <w:szCs w:val="24"/>
          <w:highlight w:val="none"/>
          <w:lang w:val="en-US" w:eastAsia="zh-CN"/>
        </w:rPr>
        <w:t xml:space="preserve">难点</w:t>
      </w:r>
      <w:r>
        <w:rPr>
          <w:rFonts w:hint="eastAsia" w:ascii="宋体" w:hAnsi="宋体" w:cs="宋体"/>
          <w:sz w:val="24"/>
          <w:szCs w:val="24"/>
          <w:highlight w:val="none"/>
          <w:lang w:val="en-US" w:eastAsia="zh-CN"/>
        </w:rPr>
        <w:t xml:space="preserve">并制定相应的解决方案，解决实际问题</w:t>
      </w:r>
      <w:r>
        <w:rPr>
          <w:rFonts w:hint="eastAsia" w:ascii="宋体" w:hAnsi="宋体" w:eastAsia="宋体" w:cs="宋体"/>
          <w:sz w:val="24"/>
          <w:szCs w:val="24"/>
          <w:highlight w:val="none"/>
          <w:lang w:val="en-US" w:eastAsia="zh-CN"/>
        </w:rPr>
        <w:t xml:space="preserve">。</w:t>
      </w:r>
      <w:r>
        <w:rPr>
          <w:rFonts w:ascii="宋体" w:hAnsi="宋体" w:eastAsia="宋体" w:cs="宋体"/>
          <w:sz w:val="24"/>
          <w:szCs w:val="24"/>
          <w:highlight w:val="none"/>
          <w:lang w:val="en-US" w:eastAsia="zh-CN"/>
        </w:rPr>
      </w:r>
      <w:r/>
    </w:p>
    <w:p>
      <w:pPr>
        <w:pStyle w:val="924"/>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（四）</w:t>
      </w:r>
      <w:r>
        <w:rPr>
          <w:rFonts w:hint="eastAsia" w:ascii="宋体" w:hAnsi="宋体" w:cs="宋体"/>
          <w:sz w:val="24"/>
          <w:szCs w:val="24"/>
          <w:lang w:val="en-US" w:eastAsia="zh-CN"/>
        </w:rPr>
        <w:t xml:space="preserve">与采购人其他系统对接要求</w:t>
      </w:r>
      <w:r>
        <w:rPr>
          <w:rFonts w:ascii="宋体" w:hAnsi="宋体" w:eastAsia="宋体" w:cs="宋体"/>
          <w:sz w:val="24"/>
          <w:szCs w:val="24"/>
          <w:lang w:val="en-US" w:eastAsia="zh-CN"/>
        </w:rPr>
      </w:r>
      <w:r/>
    </w:p>
    <w:p>
      <w:pPr>
        <w:pStyle w:val="924"/>
        <w:ind w:firstLine="420"/>
        <w:keepLines w:val="0"/>
        <w:keepNext w:val="0"/>
        <w:pageBreakBefore w:val="0"/>
        <w:spacing w:line="360" w:lineRule="auto"/>
        <w:widowControl w:val="off"/>
        <w:rPr>
          <w:rFonts w:hint="eastAsia" w:ascii="宋体" w:hAnsi="宋体" w:cs="宋体"/>
          <w:b/>
          <w:bCs/>
          <w:i/>
          <w:color w:val="000000"/>
          <w:sz w:val="21"/>
          <w:szCs w:val="21"/>
          <w:u w:val="single"/>
          <w:lang w:val="en-US" w:eastAsia="zh-CN"/>
        </w:rPr>
      </w:pPr>
      <w:r>
        <w:rPr>
          <w:rFonts w:hint="eastAsia" w:ascii="宋体" w:hAnsi="宋体" w:cs="宋体"/>
          <w:b/>
          <w:bCs/>
          <w:i/>
          <w:iCs/>
          <w:color w:val="000000"/>
          <w:sz w:val="21"/>
          <w:szCs w:val="21"/>
          <w:u w:val="single"/>
          <w:lang w:val="en-US" w:eastAsia="zh-CN"/>
        </w:rPr>
        <w:t xml:space="preserve">1. 支持与省级森林/芦苇防火监测预警系统、洪泽湖智慧湿地系统实现系统</w:t>
      </w:r>
      <w:r>
        <w:rPr>
          <w:rFonts w:hint="eastAsia" w:ascii="宋体" w:hAnsi="宋体" w:cs="宋体"/>
          <w:b/>
          <w:bCs/>
          <w:i/>
          <w:color w:val="000000"/>
          <w:sz w:val="21"/>
          <w:szCs w:val="21"/>
          <w:u w:val="single"/>
          <w:lang w:val="en-US" w:eastAsia="zh-CN"/>
        </w:rPr>
        <w:t xml:space="preserve">对接。供应商需提供对接承诺并加盖公章。</w:t>
      </w:r>
      <w:r>
        <w:rPr>
          <w:rFonts w:hint="eastAsia" w:ascii="宋体" w:hAnsi="宋体" w:cs="宋体"/>
          <w:b/>
          <w:bCs/>
          <w:i/>
          <w:color w:val="000000"/>
          <w:sz w:val="21"/>
          <w:szCs w:val="21"/>
          <w:u w:val="single"/>
          <w:lang w:val="en-US" w:eastAsia="zh-CN"/>
        </w:rPr>
      </w:r>
      <w:r/>
    </w:p>
    <w:p>
      <w:pPr>
        <w:pStyle w:val="924"/>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对接接口标准规范获取：在合同签订后10个工作日内，采购人向供应商提供其他待对接系统的接口标准规范文件（含接口协议、数据格式、传输加密要求、接口调用权限说明等），若涉及第三方系统接口，采购人协调第三方提供相关技术文档及对接支持。供应商需提供对接承诺函并加盖公章。</w:t>
      </w:r>
      <w:r>
        <w:rPr>
          <w:rFonts w:hint="eastAsia" w:ascii="宋体" w:hAnsi="宋体" w:cs="宋体"/>
          <w:sz w:val="24"/>
          <w:szCs w:val="24"/>
          <w:lang w:val="en-US" w:eastAsia="zh-CN"/>
        </w:rPr>
      </w:r>
      <w:r/>
    </w:p>
    <w:p>
      <w:pPr>
        <w:pStyle w:val="924"/>
        <w:ind w:firstLine="480"/>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4.对接协调责任：供应商负责主导对接技术方案实施，根据采购人提供的接口规范，制定详细的对接实施方案，并提交采购人审核。</w:t>
      </w:r>
      <w:r>
        <w:rPr>
          <w:rFonts w:hint="eastAsia" w:ascii="宋体" w:hAnsi="宋体" w:cs="宋体"/>
          <w:sz w:val="24"/>
          <w:szCs w:val="24"/>
          <w:lang w:val="en-US" w:eastAsia="zh-CN"/>
        </w:rPr>
      </w:r>
      <w:r/>
    </w:p>
    <w:p>
      <w:pPr>
        <w:pStyle w:val="924"/>
        <w:ind w:firstLine="480"/>
        <w:spacing w:line="360" w:lineRule="auto"/>
        <w:rPr>
          <w:rFonts w:hint="eastAsia" w:ascii="宋体" w:hAnsi="宋体" w:cs="宋体"/>
          <w:b w:val="0"/>
          <w:bCs w:val="0"/>
          <w:i w:val="0"/>
          <w:sz w:val="24"/>
          <w:szCs w:val="24"/>
          <w:u w:val="none"/>
          <w:lang w:val="en-US" w:eastAsia="zh-CN"/>
        </w:rPr>
      </w:pPr>
      <w:r>
        <w:rPr>
          <w:rFonts w:hint="eastAsia" w:ascii="宋体" w:hAnsi="宋体" w:cs="宋体"/>
          <w:sz w:val="24"/>
          <w:szCs w:val="24"/>
          <w:lang w:val="en-US" w:eastAsia="zh-CN"/>
        </w:rPr>
        <w:t xml:space="preserve">5.投标报价包含对接费用。</w:t>
      </w:r>
      <w:r>
        <w:rPr>
          <w:rFonts w:hint="eastAsia" w:ascii="宋体" w:hAnsi="宋体" w:cs="宋体"/>
          <w:b w:val="0"/>
          <w:bCs w:val="0"/>
          <w:i w:val="0"/>
          <w:sz w:val="24"/>
          <w:szCs w:val="24"/>
          <w:u w:val="none"/>
          <w:lang w:val="en-US" w:eastAsia="zh-CN"/>
        </w:rPr>
      </w:r>
      <w:r/>
    </w:p>
    <w:p>
      <w:pPr>
        <w:pStyle w:val="924"/>
        <w:ind w:firstLine="480"/>
        <w:spacing w:line="360" w:lineRule="auto"/>
        <w:rPr>
          <w:rFonts w:hint="eastAsia" w:ascii="宋体" w:hAnsi="宋体" w:cs="宋体"/>
          <w:b w:val="0"/>
          <w:bCs w:val="0"/>
          <w:i w:val="0"/>
          <w:sz w:val="24"/>
          <w:szCs w:val="24"/>
          <w:u w:val="none"/>
          <w:lang w:val="en-US" w:eastAsia="zh-CN"/>
        </w:rPr>
        <w:outlineLvl w:val="2"/>
      </w:pPr>
      <w:r>
        <w:rPr>
          <w:rFonts w:hint="eastAsia" w:ascii="宋体" w:hAnsi="宋体" w:cs="宋体"/>
          <w:b w:val="0"/>
          <w:bCs w:val="0"/>
          <w:i w:val="0"/>
          <w:sz w:val="24"/>
          <w:szCs w:val="24"/>
          <w:u w:val="none"/>
          <w:lang w:val="en-US" w:eastAsia="zh-CN"/>
        </w:rPr>
        <w:t xml:space="preserve">（五）无缝级联方案</w:t>
      </w:r>
      <w:r>
        <w:rPr>
          <w:rFonts w:hint="eastAsia" w:ascii="宋体" w:hAnsi="宋体" w:cs="宋体"/>
          <w:b w:val="0"/>
          <w:bCs w:val="0"/>
          <w:i w:val="0"/>
          <w:sz w:val="24"/>
          <w:szCs w:val="24"/>
          <w:u w:val="none"/>
          <w:lang w:val="en-US" w:eastAsia="zh-CN"/>
        </w:rPr>
      </w:r>
      <w:r/>
    </w:p>
    <w:p>
      <w:pPr>
        <w:pStyle w:val="924"/>
        <w:ind w:firstLine="480"/>
        <w:spacing w:line="360" w:lineRule="auto"/>
        <w:rPr>
          <w:rFonts w:hint="eastAsia" w:ascii="宋体" w:hAnsi="宋体" w:cs="宋体"/>
          <w:b w:val="0"/>
          <w:bCs w:val="0"/>
          <w:i w:val="0"/>
          <w:sz w:val="24"/>
          <w:szCs w:val="24"/>
          <w:u w:val="none"/>
          <w:lang w:val="en-US" w:eastAsia="zh-CN"/>
        </w:rPr>
      </w:pPr>
      <w:r>
        <w:rPr>
          <w:rFonts w:hint="eastAsia" w:ascii="宋体" w:hAnsi="宋体" w:cs="宋体"/>
          <w:b w:val="0"/>
          <w:bCs w:val="0"/>
          <w:i w:val="0"/>
          <w:sz w:val="24"/>
          <w:szCs w:val="24"/>
          <w:u w:val="none"/>
          <w:lang w:val="en-US" w:eastAsia="zh-CN"/>
        </w:rPr>
        <w:t xml:space="preserve">能够与省级森林/芦苇防火监测预警系统实现无缝级联，主要包含省市县互联互通能力建设、勘察分析报告、重难点分析、技术架构等，能够实现云台摄像机远程控制与视频回传、火情报警信息逐级推送，且具备权限分级管理能力，支持与现有森林/芦苇防火专用网络适配，保障数据传输安全稳定，满足7×24小时不间断运行要求。</w:t>
      </w:r>
      <w:r>
        <w:rPr>
          <w:rFonts w:hint="eastAsia" w:ascii="宋体" w:hAnsi="宋体" w:cs="宋体"/>
          <w:b w:val="0"/>
          <w:bCs w:val="0"/>
          <w:i w:val="0"/>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outlineLvl w:val="2"/>
      </w:pPr>
      <w:r>
        <w:rPr>
          <w:rFonts w:hint="eastAsia" w:ascii="宋体" w:hAnsi="宋体" w:cs="宋体"/>
          <w:b w:val="0"/>
          <w:bCs w:val="0"/>
          <w:i w:val="0"/>
          <w:sz w:val="24"/>
          <w:szCs w:val="24"/>
          <w:u w:val="none"/>
          <w:lang w:val="en-US" w:eastAsia="zh-CN"/>
        </w:rPr>
        <w:t xml:space="preserve">（六）</w:t>
      </w:r>
      <w:r>
        <w:rPr>
          <w:rFonts w:hint="eastAsia" w:ascii="宋体" w:hAnsi="宋体" w:cs="宋体"/>
          <w:sz w:val="24"/>
          <w:szCs w:val="24"/>
          <w:u w:val="none"/>
          <w:lang w:val="en-US" w:eastAsia="zh-CN"/>
        </w:rPr>
        <w:t xml:space="preserve">智慧湿地平台对接</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highlight w:val="none"/>
          <w:u w:val="none"/>
          <w:lang w:val="en-US" w:eastAsia="zh-CN"/>
        </w:rPr>
      </w:pPr>
      <w:r>
        <w:rPr>
          <w:rFonts w:hint="eastAsia" w:ascii="宋体" w:hAnsi="宋体" w:cs="宋体"/>
          <w:sz w:val="24"/>
          <w:szCs w:val="24"/>
          <w:u w:val="none"/>
          <w:lang w:val="en-US" w:eastAsia="zh-CN"/>
        </w:rPr>
        <w:t xml:space="preserve">能够与洪泽湖湿地现有智慧湿地平台实现系统对接，</w:t>
      </w:r>
      <w:r>
        <w:rPr>
          <w:rFonts w:hint="eastAsia" w:ascii="宋体" w:hAnsi="宋体" w:cs="宋体"/>
          <w:sz w:val="24"/>
          <w:szCs w:val="24"/>
          <w:highlight w:val="none"/>
          <w:u w:val="none"/>
          <w:lang w:val="en-US" w:eastAsia="zh-CN"/>
        </w:rPr>
        <w:t xml:space="preserve">明确对接方式、网络接入方式、网络架构</w:t>
      </w:r>
      <w:r>
        <w:rPr>
          <w:rFonts w:hint="eastAsia" w:ascii="宋体" w:hAnsi="宋体" w:cs="宋体"/>
          <w:sz w:val="24"/>
          <w:szCs w:val="24"/>
          <w:u w:val="none"/>
          <w:lang w:val="en-US" w:eastAsia="zh-CN"/>
        </w:rPr>
        <w:t xml:space="preserve">，支持云台摄像机远程控制与视频回传、火情报警信息推送至智慧湿地平台，支持与现有平台网络适配，保障数据传输安全稳定，满足7×24小时不间断运行要求，</w:t>
      </w:r>
      <w:r>
        <w:rPr>
          <w:rFonts w:hint="eastAsia" w:ascii="宋体" w:hAnsi="宋体" w:cs="宋体"/>
          <w:sz w:val="24"/>
          <w:szCs w:val="24"/>
          <w:highlight w:val="none"/>
          <w:u w:val="none"/>
          <w:lang w:val="en-US" w:eastAsia="zh-CN"/>
        </w:rPr>
        <w:t xml:space="preserve">提供平台对接设计方案。</w:t>
      </w:r>
      <w:r>
        <w:rPr>
          <w:rFonts w:hint="eastAsia" w:ascii="宋体" w:hAnsi="宋体" w:cs="宋体"/>
          <w:sz w:val="24"/>
          <w:szCs w:val="24"/>
          <w:highlight w:val="none"/>
          <w:u w:val="none"/>
          <w:lang w:val="en-US" w:eastAsia="zh-CN"/>
        </w:rPr>
      </w:r>
      <w:r/>
    </w:p>
    <w:p>
      <w:pPr>
        <w:pStyle w:val="924"/>
        <w:ind w:firstLine="480"/>
        <w:spacing w:line="360" w:lineRule="auto"/>
        <w:rPr>
          <w:rFonts w:hint="eastAsia" w:ascii="宋体" w:hAnsi="宋体" w:cs="宋体"/>
          <w:sz w:val="24"/>
          <w:szCs w:val="24"/>
          <w:u w:val="none"/>
          <w:lang w:val="en-US" w:eastAsia="zh-CN"/>
        </w:rPr>
        <w:outlineLvl w:val="2"/>
      </w:pPr>
      <w:r>
        <w:rPr>
          <w:rFonts w:hint="eastAsia" w:ascii="宋体" w:hAnsi="宋体" w:cs="宋体"/>
          <w:sz w:val="24"/>
          <w:szCs w:val="24"/>
          <w:lang w:val="en-US" w:eastAsia="zh-CN"/>
        </w:rPr>
        <w:t xml:space="preserve">（七）</w:t>
      </w:r>
      <w:r>
        <w:rPr>
          <w:rFonts w:hint="eastAsia" w:ascii="宋体" w:hAnsi="宋体" w:cs="宋体"/>
          <w:sz w:val="24"/>
          <w:szCs w:val="24"/>
          <w:u w:val="none"/>
          <w:lang w:val="en-US" w:eastAsia="zh-CN"/>
        </w:rPr>
        <w:t xml:space="preserve">林火识别和火情自主分类能力建设</w:t>
      </w:r>
      <w:r>
        <w:rPr>
          <w:rFonts w:hint="eastAsia" w:ascii="宋体" w:hAnsi="宋体" w:cs="宋体"/>
          <w:sz w:val="24"/>
          <w:szCs w:val="24"/>
          <w:u w:val="none"/>
          <w:lang w:val="en-US" w:eastAsia="zh-CN"/>
        </w:rPr>
      </w:r>
      <w:r/>
    </w:p>
    <w:p>
      <w:pPr>
        <w:pStyle w:val="924"/>
        <w:ind w:firstLine="480"/>
        <w:spacing w:line="360" w:lineRule="auto"/>
        <w:rPr>
          <w:rFonts w:ascii="宋体" w:hAnsi="宋体" w:cs="宋体"/>
          <w:sz w:val="24"/>
          <w:szCs w:val="24"/>
          <w:u w:val="none"/>
          <w:lang w:val="en-US" w:eastAsia="zh-CN"/>
        </w:rPr>
      </w:pPr>
      <w:r>
        <w:rPr>
          <w:rFonts w:hint="eastAsia" w:ascii="宋体" w:hAnsi="宋体" w:cs="宋体"/>
          <w:sz w:val="24"/>
          <w:szCs w:val="24"/>
          <w:u w:val="none"/>
          <w:lang w:val="en-US" w:eastAsia="zh-CN"/>
        </w:rPr>
        <w:t xml:space="preserve">能够以分布式协同检测架构实现林火识别能力提升，实现对林火识别报警源头的自动分类，明确源头所在地的土地类型（森林/芦苇分布区、居民区、工厂、田地等），辅助值守人员进行快速研判，大幅提高处置和核查效率。</w:t>
      </w:r>
      <w:r>
        <w:rPr>
          <w:rFonts w:ascii="宋体" w:hAnsi="宋体" w:cs="宋体"/>
          <w:sz w:val="24"/>
          <w:szCs w:val="24"/>
          <w:u w:val="none"/>
          <w:lang w:val="en-US" w:eastAsia="zh-CN"/>
        </w:rPr>
      </w:r>
      <w:r/>
    </w:p>
    <w:p>
      <w:pPr>
        <w:pStyle w:val="989"/>
        <w:rPr>
          <w:rFonts w:hint="eastAsia" w:ascii="宋体" w:hAnsi="宋体" w:eastAsia="宋体" w:cs="宋体"/>
          <w:sz w:val="24"/>
          <w:szCs w:val="24"/>
          <w:lang w:val="en-US" w:eastAsia="zh-CN"/>
        </w:rPr>
        <w:outlineLvl w:val="2"/>
      </w:pPr>
      <w:r>
        <w:rPr>
          <w:rFonts w:hint="eastAsia" w:ascii="宋体" w:hAnsi="宋体" w:eastAsia="宋体" w:cs="宋体"/>
          <w:sz w:val="24"/>
          <w:szCs w:val="24"/>
          <w:lang w:val="en-US" w:eastAsia="zh-CN"/>
        </w:rPr>
        <w:t xml:space="preserve">（八）系统架构设计方案</w:t>
      </w:r>
      <w:r>
        <w:rPr>
          <w:rFonts w:hint="eastAsia" w:ascii="宋体" w:hAnsi="宋体" w:eastAsia="宋体" w:cs="宋体"/>
          <w:sz w:val="24"/>
          <w:szCs w:val="24"/>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包含</w:t>
      </w:r>
      <w:r>
        <w:rPr>
          <w:rFonts w:hint="eastAsia" w:ascii="宋体" w:hAnsi="宋体" w:cs="宋体"/>
          <w:sz w:val="24"/>
          <w:szCs w:val="24"/>
          <w:highlight w:val="none"/>
          <w:u w:val="none"/>
          <w:lang w:val="en-US" w:eastAsia="zh-CN"/>
        </w:rPr>
        <w:t xml:space="preserve">系统整体架构设计、网络规划设计，能</w:t>
      </w:r>
      <w:r>
        <w:rPr>
          <w:rFonts w:hint="eastAsia" w:ascii="宋体" w:hAnsi="宋体" w:cs="宋体"/>
          <w:sz w:val="24"/>
          <w:szCs w:val="24"/>
          <w:u w:val="none"/>
          <w:lang w:val="en-US" w:eastAsia="zh-CN"/>
        </w:rPr>
        <w:t xml:space="preserve">够清晰描述系统的整体逻辑分层，明确各层的职责边界与协作关系，满足森林/芦苇防火业务对实时性、准确性的要求。根据项目实际，明确网络层次与划分，确保网络传输的高可靠性与低延时性，支撑火情识别、视频回传、告警推送等关键业务的快速响应。</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outlineLvl w:val="2"/>
      </w:pPr>
      <w:r>
        <w:rPr>
          <w:rFonts w:hint="eastAsia" w:ascii="宋体" w:hAnsi="宋体" w:cs="宋体"/>
          <w:sz w:val="24"/>
          <w:szCs w:val="24"/>
          <w:u w:val="none"/>
          <w:lang w:val="en-US" w:eastAsia="zh-CN"/>
        </w:rPr>
        <w:t xml:space="preserve">（九）点位规划设计方案</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结合建设现状、地形条件及业务需求，完成前置边缘网关识别设备与一体化云台摄像机的点位规划设计。重点包括高火险区域、重点防护区域的网关点位布局优化设计，并结合现场勘察情况，定制云台摄像机高空安装方案（铁塔挂载）及区域覆盖范围分析。同时考虑现有点位的分布情况，确保新建设施与现有系统的协同互补与一体化高效运行，实现全面覆盖辖区重点林区、防火关键区域，实现林区火情、隐患的全域监测。</w:t>
      </w:r>
      <w:r>
        <w:rPr>
          <w:rFonts w:hint="eastAsia" w:ascii="宋体" w:hAnsi="宋体" w:cs="宋体"/>
          <w:sz w:val="24"/>
          <w:szCs w:val="24"/>
          <w:u w:val="none"/>
          <w:lang w:val="en-US" w:eastAsia="zh-CN"/>
        </w:rPr>
      </w:r>
      <w:r/>
    </w:p>
    <w:p>
      <w:pPr>
        <w:pStyle w:val="924"/>
        <w:ind w:firstLine="480"/>
        <w:spacing w:line="360" w:lineRule="auto"/>
        <w:rPr>
          <w:rFonts w:ascii="宋体" w:hAnsi="宋体" w:cs="宋体"/>
          <w:sz w:val="24"/>
          <w:szCs w:val="24"/>
          <w:u w:val="none"/>
          <w:lang w:val="en-US" w:eastAsia="zh-CN"/>
        </w:rPr>
        <w:outlineLvl w:val="2"/>
      </w:pPr>
      <w:r>
        <w:rPr>
          <w:rFonts w:hint="eastAsia" w:ascii="宋体" w:hAnsi="宋体" w:cs="宋体"/>
          <w:sz w:val="24"/>
          <w:szCs w:val="24"/>
          <w:u w:val="none"/>
          <w:lang w:val="en-US" w:eastAsia="zh-CN"/>
        </w:rPr>
        <w:t xml:space="preserve">（十）售后服务方案</w:t>
      </w:r>
      <w:r>
        <w:rPr>
          <w:rFonts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投标人提供的售后服务，包括但不限于：</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1.售后服务体系：明确售后服务的组织架构、人员配置及职责分工；</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2.服务方式：应提供多种售后服务方式，包括远程技术支持，现场故障处置等；</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3.技术支持：提供详细的技术支持计划，应涵盖项目关键设备；</w:t>
      </w:r>
      <w:r>
        <w:rPr>
          <w:rFonts w:hint="eastAsia" w:ascii="宋体" w:hAnsi="宋体" w:cs="宋体"/>
          <w:sz w:val="24"/>
          <w:szCs w:val="24"/>
          <w:u w:val="none"/>
          <w:lang w:val="en-US" w:eastAsia="zh-CN"/>
        </w:rPr>
      </w:r>
      <w:r/>
    </w:p>
    <w:p>
      <w:pPr>
        <w:pStyle w:val="924"/>
        <w:ind w:firstLine="480"/>
        <w:spacing w:line="360" w:lineRule="auto"/>
        <w:rPr>
          <w:rFonts w:hint="eastAsia" w:ascii="宋体" w:hAnsi="宋体" w:cs="宋体"/>
          <w:sz w:val="24"/>
          <w:szCs w:val="24"/>
          <w:u w:val="none"/>
          <w:lang w:val="en-US" w:eastAsia="zh-CN"/>
        </w:rPr>
      </w:pPr>
      <w:r>
        <w:rPr>
          <w:rFonts w:hint="eastAsia" w:ascii="宋体" w:hAnsi="宋体" w:cs="宋体"/>
          <w:sz w:val="24"/>
          <w:szCs w:val="24"/>
          <w:u w:val="none"/>
          <w:lang w:val="en-US" w:eastAsia="zh-CN"/>
        </w:rPr>
        <w:t xml:space="preserve">4.应急保障措施：常见故障类型及处理流程，备品备件库配置方案等。</w:t>
      </w:r>
      <w:r>
        <w:rPr>
          <w:rFonts w:hint="eastAsia" w:ascii="宋体" w:hAnsi="宋体" w:cs="宋体"/>
          <w:sz w:val="24"/>
          <w:szCs w:val="24"/>
          <w:u w:val="none"/>
          <w:lang w:val="en-US" w:eastAsia="zh-CN"/>
        </w:rPr>
      </w:r>
      <w:r/>
    </w:p>
    <w:p>
      <w:pPr>
        <w:pStyle w:val="924"/>
        <w:ind w:firstLine="480"/>
        <w:spacing w:line="360" w:lineRule="auto"/>
        <w:rPr>
          <w:rFonts w:ascii="宋体" w:hAnsi="宋体" w:cs="宋体"/>
          <w:sz w:val="24"/>
          <w:szCs w:val="24"/>
          <w:u w:val="none"/>
          <w:lang w:val="en-US" w:eastAsia="zh-CN"/>
        </w:rPr>
      </w:pPr>
      <w:r>
        <w:rPr>
          <w:rFonts w:hint="eastAsia" w:ascii="宋体" w:hAnsi="宋体" w:cs="宋体"/>
          <w:sz w:val="24"/>
          <w:szCs w:val="24"/>
          <w:u w:val="none"/>
          <w:lang w:val="en-US" w:eastAsia="zh-CN"/>
        </w:rPr>
        <w:t xml:space="preserve">5.培训服务：明确培训时间，培训方式，培训内容。</w:t>
      </w:r>
      <w:r>
        <w:rPr>
          <w:rFonts w:ascii="宋体" w:hAnsi="宋体" w:cs="宋体"/>
          <w:sz w:val="24"/>
          <w:szCs w:val="24"/>
          <w:u w:val="none"/>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十一</w:t>
      </w:r>
      <w:r>
        <w:rPr>
          <w:rFonts w:hint="eastAsia" w:ascii="宋体" w:hAnsi="宋体" w:eastAsia="宋体" w:cs="宋体"/>
          <w:sz w:val="24"/>
          <w:szCs w:val="24"/>
          <w:lang w:val="en-US" w:eastAsia="zh-CN"/>
        </w:rPr>
        <w:t xml:space="preserve">）知识产权</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 本项目中的所有软件</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必须保证其所提供的软件及相关服务不侵犯任何第三方的知识产权（包括但不限于专利权、商标权、著作权）。</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必须保证采购人在使用该软件时，不受任何第三方提出的侵犯知识产权指控。如发生侵权纠纷，</w:t>
      </w:r>
      <w:r>
        <w:rPr>
          <w:rFonts w:hint="eastAsia" w:ascii="宋体" w:hAnsi="宋体" w:cs="宋体"/>
          <w:sz w:val="24"/>
          <w:szCs w:val="24"/>
          <w:lang w:val="en-US" w:eastAsia="zh-CN"/>
        </w:rPr>
        <w:t xml:space="preserve">供应商</w:t>
      </w:r>
      <w:r>
        <w:rPr>
          <w:rFonts w:hint="eastAsia" w:ascii="宋体" w:hAnsi="宋体" w:eastAsia="宋体" w:cs="宋体"/>
          <w:sz w:val="24"/>
          <w:szCs w:val="24"/>
          <w:lang w:val="en-US" w:eastAsia="zh-CN"/>
        </w:rPr>
        <w:t xml:space="preserve">应负责处理并承担由此产生的一切法律责任及费用。</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2.本项目</w:t>
      </w:r>
      <w:r>
        <w:rPr>
          <w:rFonts w:hint="eastAsia" w:ascii="宋体" w:hAnsi="宋体" w:cs="宋体"/>
          <w:sz w:val="24"/>
          <w:szCs w:val="24"/>
          <w:lang w:val="en-US" w:eastAsia="zh-CN"/>
        </w:rPr>
        <w:t xml:space="preserve">如</w:t>
      </w:r>
      <w:r>
        <w:rPr>
          <w:rFonts w:hint="eastAsia" w:ascii="宋体" w:hAnsi="宋体" w:eastAsia="宋体" w:cs="宋体"/>
          <w:sz w:val="24"/>
          <w:szCs w:val="24"/>
          <w:lang w:val="en-US" w:eastAsia="zh-CN"/>
        </w:rPr>
        <w:t xml:space="preserve">要求交付软件的完整源代码</w:t>
      </w:r>
      <w:r>
        <w:rPr>
          <w:rFonts w:hint="eastAsia" w:ascii="宋体" w:hAnsi="宋体" w:cs="宋体"/>
          <w:sz w:val="24"/>
          <w:szCs w:val="24"/>
          <w:lang w:val="en-US" w:eastAsia="zh-CN"/>
        </w:rPr>
        <w:t xml:space="preserve">的，须提交</w:t>
      </w:r>
      <w:r>
        <w:rPr>
          <w:rFonts w:hint="eastAsia" w:ascii="宋体" w:hAnsi="宋体" w:eastAsia="宋体" w:cs="宋体"/>
          <w:sz w:val="24"/>
          <w:szCs w:val="24"/>
          <w:lang w:val="en-US" w:eastAsia="zh-CN"/>
        </w:rPr>
        <w:t xml:space="preserve">（包括但不限于底层驱动、中间件、应用层代码）及编译环境说明。同时需提供详细的软件架构设计文档、数据库设计文档及用户操作手册。未按要求提供源代码及文档的，视为验收不合格。</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w:t>
      </w:r>
      <w:r>
        <w:rPr>
          <w:rFonts w:hint="eastAsia" w:ascii="宋体" w:hAnsi="宋体" w:cs="宋体"/>
          <w:sz w:val="24"/>
          <w:szCs w:val="24"/>
          <w:lang w:val="en-US" w:eastAsia="zh-CN"/>
        </w:rPr>
        <w:t xml:space="preserve">的软件中，如为</w:t>
      </w:r>
      <w:r>
        <w:rPr>
          <w:rFonts w:hint="eastAsia" w:ascii="宋体" w:hAnsi="宋体" w:eastAsia="宋体" w:cs="宋体"/>
          <w:sz w:val="24"/>
          <w:szCs w:val="24"/>
          <w:lang w:val="en-US" w:eastAsia="zh-CN"/>
        </w:rPr>
        <w:t xml:space="preserve">授权方式</w:t>
      </w:r>
      <w:r>
        <w:rPr>
          <w:rFonts w:hint="eastAsia" w:ascii="宋体" w:hAnsi="宋体" w:cs="宋体"/>
          <w:sz w:val="24"/>
          <w:szCs w:val="24"/>
          <w:lang w:val="en-US" w:eastAsia="zh-CN"/>
        </w:rPr>
        <w:t xml:space="preserve">的</w:t>
      </w:r>
      <w:r>
        <w:rPr>
          <w:rFonts w:hint="eastAsia" w:ascii="宋体" w:hAnsi="宋体" w:eastAsia="宋体" w:cs="宋体"/>
          <w:sz w:val="24"/>
          <w:szCs w:val="24"/>
          <w:lang w:val="en-US" w:eastAsia="zh-CN"/>
        </w:rPr>
        <w:t xml:space="preserve">：必须提供永久授权（Perpetual License），不得仅提供订阅制（Subscription）或临时授权</w:t>
      </w:r>
      <w:r>
        <w:rPr>
          <w:rFonts w:hint="eastAsia" w:ascii="宋体" w:hAnsi="宋体" w:cs="宋体"/>
          <w:sz w:val="24"/>
          <w:szCs w:val="24"/>
          <w:lang w:val="en-US" w:eastAsia="zh-CN"/>
        </w:rPr>
        <w:t xml:space="preserve">，授权范围：授权必须包含对采购人内部所有相关业务系统的集成与使用权利；</w:t>
      </w:r>
      <w:r>
        <w:rPr>
          <w:rFonts w:hint="eastAsia" w:ascii="宋体" w:hAnsi="宋体" w:eastAsia="宋体" w:cs="宋体"/>
          <w:sz w:val="24"/>
          <w:szCs w:val="24"/>
          <w:lang w:val="en-US" w:eastAsia="zh-CN"/>
        </w:rPr>
        <w:t xml:space="preserve">如为嵌入式许可</w:t>
      </w:r>
      <w:r>
        <w:rPr>
          <w:rFonts w:hint="eastAsia" w:ascii="宋体" w:hAnsi="宋体" w:cs="宋体"/>
          <w:sz w:val="24"/>
          <w:szCs w:val="24"/>
          <w:lang w:val="en-US" w:eastAsia="zh-CN"/>
        </w:rPr>
        <w:t xml:space="preserve">的</w:t>
      </w:r>
      <w:r>
        <w:rPr>
          <w:rFonts w:hint="eastAsia" w:ascii="宋体" w:hAnsi="宋体" w:eastAsia="宋体" w:cs="宋体"/>
          <w:sz w:val="24"/>
          <w:szCs w:val="24"/>
          <w:lang w:val="en-US" w:eastAsia="zh-CN"/>
        </w:rPr>
        <w:t xml:space="preserve">： 若软件嵌入在硬件中，必须提供原厂的</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嵌入式软件许可协议</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（Embedded Software EULA）</w:t>
      </w:r>
      <w:r>
        <w:rPr>
          <w:rFonts w:hint="eastAsia" w:ascii="宋体" w:hAnsi="宋体" w:cs="宋体"/>
          <w:sz w:val="24"/>
          <w:szCs w:val="24"/>
          <w:lang w:val="en-US" w:eastAsia="zh-CN"/>
        </w:rPr>
        <w:t xml:space="preserve">，并提供承诺函加盖供应商公章</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十二</w:t>
      </w:r>
      <w:r>
        <w:rPr>
          <w:rFonts w:hint="eastAsia" w:ascii="宋体" w:hAnsi="宋体" w:eastAsia="宋体" w:cs="宋体"/>
          <w:sz w:val="24"/>
          <w:szCs w:val="24"/>
          <w:lang w:val="en-US" w:eastAsia="zh-CN"/>
        </w:rPr>
        <w:t xml:space="preserve">）文明生产要求</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需建立安全生产管理体系，配备专职安全员，且人员需具备相应资质。施工前，编制专项安全施工方案（如高空作业、临时用电等），并经采购人和监理单位审批后实施。同时，供应商需对作业人员进行岗前安全培训，培训记录需提交甲方备案。</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2.供应商需承诺对现场文明生产负全部责任，因供应商违规导致的安全事故、环保处罚或第三方损失，均由供应商承担。</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3.中标人需与采购人签订安全文明生产责任状，并作为项目合同附件严格遵守。</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十三</w:t>
      </w:r>
      <w:r>
        <w:rPr>
          <w:rFonts w:hint="eastAsia" w:ascii="宋体" w:hAnsi="宋体" w:eastAsia="宋体" w:cs="宋体"/>
          <w:sz w:val="24"/>
          <w:szCs w:val="24"/>
          <w:lang w:val="en-US" w:eastAsia="zh-CN"/>
        </w:rPr>
        <w:t xml:space="preserve">）保密要求</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供应商应对项目技术文件以及由采购人提供的所有内部资料、技术文档、数据和信息予以保密；供应商应与采购人签订保密协议并作为项目合同附件严格遵守，未经采购人书面许可，供应商不得以任何形式向第三方透露本项目标书、技术方案等内容。</w:t>
      </w:r>
      <w:r>
        <w:rPr>
          <w:rFonts w:hint="eastAsia" w:ascii="宋体" w:hAnsi="宋体" w:eastAsia="宋体" w:cs="宋体"/>
          <w:sz w:val="24"/>
          <w:szCs w:val="24"/>
          <w:lang w:val="en-US" w:eastAsia="zh-CN"/>
        </w:rPr>
      </w:r>
      <w:r/>
    </w:p>
    <w:p>
      <w:pPr>
        <w:pStyle w:val="926"/>
        <w:numPr>
          <w:ilvl w:val="0"/>
          <w:numId w:val="0"/>
        </w:numPr>
        <w:jc w:val="both"/>
        <w:spacing w:before="0" w:after="0" w:line="36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（十四）采购标的的验收标准及要求</w:t>
      </w:r>
      <w:r>
        <w:rPr>
          <w:rFonts w:hint="eastAsia" w:ascii="宋体" w:hAnsi="宋体" w:eastAsia="宋体" w:cs="宋体"/>
          <w:b w:val="0"/>
          <w:bCs w:val="0"/>
          <w:sz w:val="24"/>
          <w:szCs w:val="24"/>
          <w:lang w:val="en-US" w:eastAsia="zh-CN" w:bidi="ar-SA"/>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1、验收标准</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严格遵循《财政部关于进一步加强政府采购需求和履约验收管理的指导意见》（财库〔2016〕205号）、《政府采购需求管理办法》（财库〔2021〕22号）等政策法规，按照本项目招标文件、中标人投标文件及采购合同约定内容，同时参照国家及行业相关标准规范，包括但不限：《公共安全视频监控数字音</w:t>
      </w:r>
      <w:r>
        <w:rPr>
          <w:rFonts w:hint="eastAsia" w:ascii="宋体" w:hAnsi="宋体" w:eastAsia="宋体" w:cs="宋体"/>
          <w:sz w:val="24"/>
          <w:szCs w:val="24"/>
          <w:lang w:val="en-US" w:eastAsia="zh-CN"/>
        </w:rPr>
        <w:t xml:space="preserve">视频编解码技术要求》（国标GB/T 25724-2017）；《信息系统安全管理要求》（GB/T 20269-2006）；《安全防范工程技术标准》（GB 50348-2018）；《公共安全重点区域视频图像信息采集规范》（GB 37300-2018）；《软件工程术语》（GB/T 11457-2006）；《计算机软件质量保证计划规范》（GB/T 12504-2008）；《信息技术信息安全管理实用规则》（GB/T 19716-2008）；《信息安全技术数据库管理系统安全技术要求》（GB/T 20273-2006）；</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《国家信息安全等级保护等级测评标准（GB/T 22239-2019）》，确保验收工作合法合规、有据可依。</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2、相关要求</w:t>
      </w:r>
      <w:r>
        <w:rPr>
          <w:rFonts w:hint="eastAsia" w:ascii="宋体" w:hAnsi="宋体" w:eastAsia="宋体" w:cs="宋体"/>
          <w:sz w:val="24"/>
          <w:szCs w:val="24"/>
          <w:lang w:val="en-US" w:eastAsia="zh-CN"/>
        </w:rPr>
      </w:r>
      <w:r/>
    </w:p>
    <w:p>
      <w:pPr>
        <w:pStyle w:val="924"/>
        <w:ind w:firstLine="480"/>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sz w:val="24"/>
          <w:szCs w:val="24"/>
          <w:lang w:val="en-US" w:eastAsia="zh-CN"/>
        </w:rPr>
        <w:t xml:space="preserve">设备运送到甲方指定地点，安装调试后实验运行正常，实验结果精度满足合同要求。</w:t>
      </w:r>
      <w:r>
        <w:rPr>
          <w:rFonts w:hint="eastAsia" w:ascii="宋体" w:hAnsi="宋体" w:eastAsia="宋体" w:cs="宋体"/>
          <w:b w:val="0"/>
          <w:bCs w:val="0"/>
          <w:sz w:val="24"/>
          <w:szCs w:val="24"/>
          <w:lang w:val="en-US" w:eastAsia="zh-CN" w:bidi="ar-SA"/>
        </w:rPr>
      </w:r>
      <w:r/>
    </w:p>
    <w:p>
      <w:pPr>
        <w:pStyle w:val="924"/>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24"/>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ascii="宋体" w:hAnsi="宋体"/>
          <w:b/>
          <w:bCs/>
          <w:sz w:val="24"/>
          <w:szCs w:val="21"/>
        </w:rPr>
      </w:r>
      <w:r/>
    </w:p>
    <w:p>
      <w:pPr>
        <w:pStyle w:val="924"/>
        <w:ind w:firstLine="480"/>
        <w:spacing w:line="360" w:lineRule="auto"/>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1、交付期：</w:t>
      </w:r>
      <w:r>
        <w:rPr>
          <w:rFonts w:hint="eastAsia" w:ascii="宋体" w:hAnsi="宋体" w:cs="宋体"/>
          <w:sz w:val="24"/>
          <w:szCs w:val="24"/>
          <w:highlight w:val="none"/>
          <w:lang w:val="zh-CN"/>
        </w:rPr>
        <w:t xml:space="preserve">自合同签订之日起，</w:t>
      </w:r>
      <w:r>
        <w:rPr>
          <w:rFonts w:hint="eastAsia" w:ascii="宋体" w:hAnsi="宋体" w:cs="宋体"/>
          <w:sz w:val="24"/>
          <w:szCs w:val="24"/>
          <w:highlight w:val="none"/>
        </w:rPr>
        <w:t xml:space="preserve">60个日历天内完成所有合同标的的设备交货，交货后60</w:t>
      </w:r>
      <w:r>
        <w:rPr>
          <w:rFonts w:hint="eastAsia" w:ascii="宋体" w:hAnsi="宋体" w:cs="宋体"/>
          <w:sz w:val="24"/>
          <w:szCs w:val="24"/>
          <w:highlight w:val="none"/>
          <w:lang w:val="zh-CN"/>
        </w:rPr>
        <w:t xml:space="preserve">个日历天内完成所有合同标的</w:t>
      </w:r>
      <w:r>
        <w:rPr>
          <w:rFonts w:hint="eastAsia" w:ascii="宋体" w:hAnsi="宋体" w:cs="宋体"/>
          <w:sz w:val="24"/>
          <w:szCs w:val="24"/>
          <w:highlight w:val="none"/>
        </w:rPr>
        <w:t xml:space="preserve">施工</w:t>
      </w:r>
      <w:r>
        <w:rPr>
          <w:rFonts w:hint="eastAsia" w:ascii="宋体" w:hAnsi="宋体" w:cs="宋体"/>
          <w:sz w:val="24"/>
          <w:szCs w:val="24"/>
          <w:highlight w:val="none"/>
          <w:lang w:val="zh-CN"/>
        </w:rPr>
        <w:t xml:space="preserve">、集成、调试工作，</w:t>
      </w:r>
      <w:r>
        <w:rPr>
          <w:rFonts w:hint="eastAsia" w:ascii="宋体" w:hAnsi="宋体" w:cs="宋体"/>
          <w:sz w:val="24"/>
          <w:szCs w:val="24"/>
          <w:highlight w:val="none"/>
        </w:rPr>
        <w:t xml:space="preserve">完成项目整体建设交付</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24"/>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2、交付地点：</w:t>
      </w:r>
      <w:r>
        <w:rPr>
          <w:rFonts w:hint="eastAsia" w:ascii="宋体" w:hAnsi="宋体" w:eastAsia="宋体" w:cs="宋体"/>
          <w:sz w:val="24"/>
          <w:szCs w:val="24"/>
        </w:rPr>
        <w:t xml:space="preserve">甲方指定地点。</w:t>
      </w:r>
      <w:r>
        <w:rPr>
          <w:rFonts w:hint="eastAsia" w:ascii="宋体" w:hAnsi="宋体" w:eastAsia="宋体" w:cs="宋体"/>
          <w:sz w:val="24"/>
          <w:szCs w:val="24"/>
        </w:rPr>
      </w:r>
      <w:r/>
    </w:p>
    <w:p>
      <w:pPr>
        <w:pStyle w:val="924"/>
        <w:ind w:firstLine="480"/>
        <w:spacing w:line="360" w:lineRule="auto"/>
        <w:rPr>
          <w:rFonts w:hint="eastAsia" w:ascii="宋体" w:hAnsi="宋体" w:eastAsia="宋体" w:cs="宋体"/>
          <w:bCs/>
          <w:sz w:val="24"/>
        </w:rPr>
      </w:pPr>
      <w:r>
        <w:rPr>
          <w:rFonts w:hint="eastAsia" w:ascii="宋体" w:hAnsi="宋体" w:eastAsia="宋体" w:cs="宋体"/>
          <w:b/>
          <w:bCs w:val="0"/>
          <w:sz w:val="24"/>
        </w:rPr>
        <w:t xml:space="preserve">3、</w:t>
      </w:r>
      <w:r>
        <w:rPr>
          <w:rFonts w:hint="eastAsia" w:ascii="宋体" w:hAnsi="宋体" w:eastAsia="宋体" w:cs="宋体"/>
          <w:b/>
          <w:bCs/>
          <w:sz w:val="24"/>
          <w:szCs w:val="24"/>
        </w:rPr>
        <w:t xml:space="preserve">交付方式：</w:t>
      </w:r>
      <w:r>
        <w:rPr>
          <w:rFonts w:hint="eastAsia" w:ascii="宋体" w:hAnsi="宋体" w:eastAsia="宋体" w:cs="宋体"/>
          <w:b/>
          <w:bCs w:val="0"/>
          <w:i/>
          <w:iCs/>
          <w:sz w:val="24"/>
          <w:u w:val="single"/>
        </w:rPr>
        <w:t xml:space="preserve">将全部标的产品运输至甲方指定地点，安装、调试完成并经甲方验收合格的视为完成交付。中标人负责办理运输、装卸、安装调试等，费用由中标人承担。</w:t>
      </w:r>
      <w:r>
        <w:rPr>
          <w:rFonts w:hint="eastAsia" w:ascii="宋体" w:hAnsi="宋体" w:eastAsia="宋体" w:cs="宋体"/>
          <w:bCs/>
          <w:sz w:val="24"/>
        </w:rPr>
      </w:r>
      <w:r/>
    </w:p>
    <w:p>
      <w:pPr>
        <w:pStyle w:val="924"/>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4、技术培训：</w:t>
      </w:r>
      <w:r>
        <w:rPr>
          <w:rFonts w:hint="eastAsia" w:ascii="宋体" w:hAnsi="宋体" w:eastAsia="宋体" w:cs="宋体"/>
          <w:b/>
          <w:bCs/>
          <w:sz w:val="24"/>
          <w:szCs w:val="24"/>
        </w:rPr>
      </w:r>
      <w:r/>
    </w:p>
    <w:p>
      <w:pPr>
        <w:pStyle w:val="92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根据客户的具体需求及实际情况，制定详细的培训计划，免费对买方使用人员进行不少于</w:t>
      </w:r>
      <w:r>
        <w:rPr>
          <w:rFonts w:hint="eastAsia" w:ascii="宋体" w:hAnsi="宋体" w:eastAsia="宋体" w:cs="宋体"/>
          <w:sz w:val="24"/>
          <w:szCs w:val="24"/>
          <w:u w:val="single"/>
        </w:rPr>
        <w:t xml:space="preserve">7</w:t>
      </w:r>
      <w:r>
        <w:rPr>
          <w:rFonts w:hint="eastAsia" w:ascii="宋体" w:hAnsi="宋体" w:eastAsia="宋体" w:cs="宋体"/>
          <w:sz w:val="24"/>
          <w:szCs w:val="24"/>
          <w:lang w:val="zh-CN"/>
        </w:rPr>
        <w:t xml:space="preserve">天的系统培训，培训内容包括设备的使用操作、维修、保养等，参加人数不限。</w:t>
      </w:r>
      <w:r>
        <w:rPr>
          <w:rFonts w:hint="eastAsia" w:ascii="宋体" w:hAnsi="宋体" w:eastAsia="宋体" w:cs="宋体"/>
          <w:sz w:val="24"/>
          <w:szCs w:val="24"/>
          <w:lang w:val="zh-CN"/>
        </w:rPr>
      </w:r>
      <w:r/>
    </w:p>
    <w:p>
      <w:pPr>
        <w:pStyle w:val="924"/>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5、质保期和售后服务要求：</w:t>
      </w:r>
      <w:r>
        <w:rPr>
          <w:rFonts w:hint="eastAsia" w:ascii="宋体" w:hAnsi="宋体" w:eastAsia="宋体" w:cs="宋体"/>
          <w:b/>
          <w:bCs/>
          <w:sz w:val="24"/>
          <w:szCs w:val="24"/>
        </w:rPr>
      </w:r>
      <w:r/>
    </w:p>
    <w:p>
      <w:pPr>
        <w:pStyle w:val="924"/>
        <w:ind w:firstLine="420"/>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（一）质保期：</w:t>
      </w:r>
      <w:r>
        <w:rPr>
          <w:rFonts w:hint="eastAsia" w:ascii="宋体" w:hAnsi="宋体" w:cs="宋体"/>
          <w:sz w:val="24"/>
          <w:szCs w:val="24"/>
          <w:lang w:eastAsia="zh-CN"/>
        </w:rPr>
      </w:r>
      <w:r/>
    </w:p>
    <w:p>
      <w:pPr>
        <w:pStyle w:val="92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自项目验收合格之</w:t>
      </w:r>
      <w:r>
        <w:rPr>
          <w:rFonts w:hint="eastAsia" w:ascii="宋体" w:hAnsi="宋体" w:eastAsia="宋体" w:cs="宋体"/>
          <w:sz w:val="24"/>
          <w:szCs w:val="24"/>
          <w:highlight w:val="none"/>
        </w:rPr>
        <w:t xml:space="preserve">日起</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质保期内</w:t>
      </w:r>
      <w:r>
        <w:rPr>
          <w:rFonts w:hint="eastAsia" w:ascii="宋体" w:hAnsi="宋体" w:eastAsia="宋体" w:cs="宋体"/>
          <w:sz w:val="24"/>
          <w:szCs w:val="24"/>
        </w:rPr>
        <w:t xml:space="preserve">硬件免费质保、软件免费升级，每次升级之后</w:t>
      </w:r>
      <w:r>
        <w:rPr>
          <w:rFonts w:hint="eastAsia" w:ascii="宋体" w:hAnsi="宋体" w:cs="宋体"/>
          <w:sz w:val="24"/>
          <w:szCs w:val="24"/>
          <w:lang w:val="en-US" w:eastAsia="zh-CN"/>
        </w:rPr>
        <w:t xml:space="preserve">投标人需</w:t>
      </w:r>
      <w:r>
        <w:rPr>
          <w:rFonts w:hint="eastAsia" w:ascii="宋体" w:hAnsi="宋体" w:eastAsia="宋体" w:cs="宋体"/>
          <w:sz w:val="24"/>
          <w:szCs w:val="24"/>
        </w:rPr>
        <w:t xml:space="preserve">安排技术人员进行培训。</w:t>
      </w:r>
      <w:r>
        <w:rPr>
          <w:rFonts w:hint="eastAsia" w:ascii="宋体" w:hAnsi="宋体" w:eastAsia="宋体" w:cs="宋体"/>
          <w:sz w:val="24"/>
          <w:szCs w:val="24"/>
        </w:rPr>
      </w:r>
      <w:r/>
    </w:p>
    <w:p>
      <w:pPr>
        <w:pStyle w:val="924"/>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eastAsia="zh-CN"/>
        </w:rPr>
        <w:t xml:space="preserve">二</w:t>
      </w:r>
      <w:r>
        <w:rPr>
          <w:rFonts w:hint="eastAsia" w:ascii="宋体" w:hAnsi="宋体" w:eastAsia="宋体" w:cs="宋体"/>
          <w:sz w:val="24"/>
          <w:szCs w:val="24"/>
        </w:rPr>
        <w:t xml:space="preserve">）售后服务</w:t>
      </w:r>
      <w:r>
        <w:rPr>
          <w:rFonts w:hint="eastAsia" w:ascii="宋体" w:hAnsi="宋体" w:eastAsia="宋体" w:cs="宋体"/>
          <w:sz w:val="24"/>
          <w:szCs w:val="24"/>
        </w:rPr>
      </w:r>
      <w:r/>
    </w:p>
    <w:p>
      <w:pPr>
        <w:pStyle w:val="924"/>
        <w:ind w:left="420"/>
        <w:spacing w:line="360" w:lineRule="auto"/>
        <w:rPr>
          <w:rFonts w:hint="eastAsia"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必须提供7*24小时售后服务，提供</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小时内响应，</w:t>
      </w:r>
      <w:r>
        <w:rPr>
          <w:rFonts w:hint="eastAsia" w:ascii="宋体" w:hAnsi="宋体" w:cs="宋体"/>
          <w:sz w:val="24"/>
          <w:szCs w:val="24"/>
          <w:u w:val="single"/>
          <w:lang w:val="en-US" w:eastAsia="zh-CN"/>
        </w:rPr>
        <w:t xml:space="preserve">24</w:t>
      </w:r>
      <w:r>
        <w:rPr>
          <w:rFonts w:hint="eastAsia" w:ascii="宋体" w:hAnsi="宋体" w:eastAsia="宋体" w:cs="宋体"/>
          <w:sz w:val="24"/>
          <w:szCs w:val="24"/>
        </w:rPr>
        <w:t xml:space="preserve">小时内解决问题并维修完毕。</w:t>
      </w:r>
      <w:r>
        <w:rPr>
          <w:rFonts w:hint="eastAsia" w:ascii="宋体" w:hAnsi="宋体" w:eastAsia="宋体" w:cs="宋体"/>
          <w:sz w:val="24"/>
          <w:szCs w:val="24"/>
        </w:rPr>
      </w:r>
      <w:r/>
    </w:p>
    <w:p>
      <w:pPr>
        <w:pStyle w:val="924"/>
        <w:ind w:left="42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）可以提供免费的应用答疑和集中培训服务。</w:t>
      </w:r>
      <w:r>
        <w:rPr>
          <w:rFonts w:hint="eastAsia" w:ascii="宋体" w:hAnsi="宋体" w:eastAsia="宋体" w:cs="宋体"/>
          <w:sz w:val="24"/>
          <w:szCs w:val="24"/>
        </w:rPr>
      </w:r>
      <w:r/>
    </w:p>
    <w:p>
      <w:pPr>
        <w:pStyle w:val="924"/>
        <w:ind w:left="42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）质保责任</w:t>
      </w:r>
      <w:r>
        <w:rPr>
          <w:rFonts w:hint="eastAsia" w:ascii="宋体" w:hAnsi="宋体" w:eastAsia="宋体" w:cs="宋体"/>
          <w:sz w:val="24"/>
          <w:szCs w:val="24"/>
          <w:lang w:val="en-US" w:eastAsia="zh-CN"/>
        </w:rPr>
      </w:r>
      <w:r/>
    </w:p>
    <w:p>
      <w:pPr>
        <w:pStyle w:val="98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（1）硬件设备质保责任</w:t>
      </w:r>
      <w:r>
        <w:rPr>
          <w:rFonts w:hint="eastAsia" w:ascii="宋体" w:hAnsi="宋体" w:eastAsia="宋体" w:cs="宋体"/>
          <w:sz w:val="24"/>
          <w:szCs w:val="24"/>
          <w:lang w:val="en-US" w:eastAsia="zh-CN" w:bidi="ar-SA"/>
        </w:rPr>
      </w:r>
      <w:r/>
    </w:p>
    <w:p>
      <w:pPr>
        <w:pStyle w:val="98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质保期内，若硬件设备出现非人为损坏的性能故障，24小时内完成维修或更换，核心设备若需返厂维修，需提供同型号备用设备临时替换，保障监测工作不中断。</w:t>
      </w:r>
      <w:r>
        <w:rPr>
          <w:rFonts w:hint="eastAsia" w:ascii="宋体" w:hAnsi="宋体" w:eastAsia="宋体" w:cs="宋体"/>
          <w:sz w:val="24"/>
          <w:szCs w:val="24"/>
          <w:lang w:val="en-US" w:eastAsia="zh-CN" w:bidi="ar-SA"/>
        </w:rPr>
      </w:r>
      <w:r/>
    </w:p>
    <w:p>
      <w:pPr>
        <w:pStyle w:val="98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定期维护方面，供应商需每季度对硬件设备进行一次现场巡检，包括设备运行状态检测、线缆接口紧固、防水防腐处理，并提交《硬件巡检报告》，明确设备运行参数、潜在风险及处理建议。</w:t>
      </w:r>
      <w:r>
        <w:rPr>
          <w:rFonts w:hint="eastAsia" w:ascii="宋体" w:hAnsi="宋体" w:eastAsia="宋体" w:cs="宋体"/>
          <w:sz w:val="24"/>
          <w:szCs w:val="24"/>
          <w:lang w:val="en-US" w:eastAsia="zh-CN" w:bidi="ar-SA"/>
        </w:rPr>
      </w:r>
      <w:r/>
    </w:p>
    <w:p>
      <w:pPr>
        <w:pStyle w:val="98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（2）软件系统质保责任</w:t>
      </w:r>
      <w:r>
        <w:rPr>
          <w:rFonts w:hint="eastAsia" w:ascii="宋体" w:hAnsi="宋体" w:eastAsia="宋体" w:cs="宋体"/>
          <w:sz w:val="24"/>
          <w:szCs w:val="24"/>
          <w:lang w:val="en-US" w:eastAsia="zh-CN" w:bidi="ar-SA"/>
        </w:rPr>
      </w:r>
      <w:r/>
    </w:p>
    <w:p>
      <w:pPr>
        <w:pStyle w:val="989"/>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功能保障：质保期内，若软件系统出现功能缺失、兼容性问题或稳定性故障（如平台卡顿、闪退、数据丢失），供应商需在2小时内响应，4小时内提供临时解决方案（如紧急恢复备份数据、切换备用服务节点），24小时内完成彻底修复，并提交《软件故障处理报告》。</w:t>
      </w:r>
      <w:r>
        <w:rPr>
          <w:rFonts w:hint="eastAsia" w:ascii="宋体" w:hAnsi="宋体" w:eastAsia="宋体" w:cs="宋体"/>
          <w:sz w:val="24"/>
          <w:szCs w:val="24"/>
          <w:lang w:val="en-US" w:eastAsia="zh-CN" w:bidi="ar-SA"/>
        </w:rPr>
      </w:r>
      <w:r/>
    </w:p>
    <w:p>
      <w:pPr>
        <w:pStyle w:val="989"/>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迭代优化：针对软件系统的安全预警摸块功能优化需求，供应商需在接到需求后3个工作日内出具可行性方案，方案确认后15个工作日内完成开发与部署，确保系统兼容性。</w:t>
      </w:r>
      <w:r>
        <w:rPr>
          <w:rFonts w:hint="eastAsia" w:ascii="宋体" w:hAnsi="宋体" w:eastAsia="宋体" w:cs="宋体"/>
          <w:sz w:val="24"/>
          <w:szCs w:val="24"/>
          <w:highlight w:val="yellow"/>
          <w:lang w:val="en-US" w:eastAsia="zh-CN" w:bidi="ar-SA"/>
        </w:rPr>
      </w:r>
      <w:r/>
    </w:p>
    <w:p>
      <w:pPr>
        <w:pStyle w:val="924"/>
        <w:ind w:firstLine="480"/>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rPr>
        <w:t xml:space="preserve">6</w:t>
      </w:r>
      <w:r>
        <w:rPr>
          <w:rFonts w:hint="eastAsia" w:ascii="宋体" w:hAnsi="宋体" w:eastAsia="宋体" w:cs="宋体"/>
          <w:b/>
          <w:bCs/>
          <w:sz w:val="24"/>
          <w:szCs w:val="24"/>
          <w:lang w:val="zh-CN"/>
        </w:rPr>
        <w:t xml:space="preserve">、付款方式</w:t>
      </w:r>
      <w:r>
        <w:rPr>
          <w:rFonts w:hint="eastAsia" w:ascii="宋体" w:hAnsi="宋体" w:eastAsia="宋体" w:cs="宋体"/>
          <w:b/>
          <w:bCs/>
          <w:sz w:val="24"/>
          <w:szCs w:val="24"/>
          <w:lang w:val="zh-CN"/>
        </w:rPr>
      </w:r>
      <w:r/>
    </w:p>
    <w:p>
      <w:pPr>
        <w:pStyle w:val="924"/>
        <w:spacing w:line="0" w:lineRule="atLeast"/>
        <w:rPr>
          <w:rFonts w:ascii="宋体" w:hAnsi="宋体"/>
          <w:b/>
          <w:bCs/>
          <w:color w:val="ff0000"/>
          <w:sz w:val="24"/>
          <w:szCs w:val="21"/>
        </w:rPr>
      </w:pPr>
      <w:r>
        <w:rPr>
          <w:rFonts w:hint="eastAsia" w:ascii="宋体" w:hAnsi="宋体" w:eastAsia="宋体" w:cs="宋体"/>
          <w:sz w:val="24"/>
          <w:szCs w:val="24"/>
        </w:rPr>
        <w:t xml:space="preserve">合同签订7个工作日内甲方向乙方支付合同总额的</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0%；设备已全部运抵甲方指定地点，安装、调试运行正常、验收完毕，且乙方为甲方培训结束、甲方无疑问后十个工作日内向乙方支付至合同总额的100%。每次付款前供应商应向采购方开具发票。</w:t>
      </w:r>
      <w:r>
        <w:rPr>
          <w:rFonts w:ascii="宋体" w:hAnsi="宋体"/>
          <w:b/>
          <w:bCs/>
          <w:color w:val="ff0000"/>
          <w:sz w:val="24"/>
          <w:szCs w:val="21"/>
        </w:rPr>
      </w:r>
      <w:r/>
    </w:p>
    <w:p>
      <w:pPr>
        <w:pStyle w:val="924"/>
        <w:spacing w:line="0" w:lineRule="atLeast"/>
        <w:rPr>
          <w:rFonts w:ascii="宋体" w:hAnsi="宋体"/>
          <w:color w:val="000000"/>
          <w:sz w:val="24"/>
          <w:szCs w:val="24"/>
        </w:rPr>
      </w:pPr>
      <w:r>
        <w:rPr>
          <w:rFonts w:ascii="宋体" w:hAnsi="宋体"/>
          <w:color w:val="000000"/>
          <w:sz w:val="24"/>
          <w:szCs w:val="24"/>
        </w:rPr>
      </w:r>
      <w:r/>
    </w:p>
    <w:p>
      <w:pPr>
        <w:pStyle w:val="924"/>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24"/>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24"/>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4709"/>
      </w:tblGrid>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采购</w:t>
            </w:r>
            <w:r>
              <w:rPr>
                <w:rFonts w:ascii="宋体" w:hAnsi="宋体"/>
                <w:szCs w:val="21"/>
              </w:rPr>
            </w:r>
            <w:r/>
          </w:p>
          <w:p>
            <w:pPr>
              <w:pStyle w:val="924"/>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4709"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4709" w:type="dxa"/>
            <w:vAlign w:val="top"/>
            <w:textDirection w:val="lrTb"/>
            <w:noWrap w:val="false"/>
          </w:tcPr>
          <w:p>
            <w:pPr>
              <w:pStyle w:val="924"/>
              <w:jc w:val="center"/>
              <w:rPr>
                <w:rFonts w:hint="eastAsia" w:ascii="宋体" w:hAnsi="宋体"/>
                <w:szCs w:val="21"/>
              </w:rPr>
            </w:pPr>
            <w:r>
              <w:rPr>
                <w:rFonts w:hint="eastAsia" w:ascii="宋体" w:hAnsi="宋体" w:eastAsia="宋体" w:cs="宋体"/>
                <w:sz w:val="24"/>
                <w:szCs w:val="24"/>
              </w:rPr>
              <w:t xml:space="preserve">前置边缘网关识别设备(含内置算法)</w:t>
            </w:r>
            <w:r>
              <w:rPr>
                <w:rFonts w:hint="eastAsia" w:ascii="宋体" w:hAnsi="宋体"/>
                <w:szCs w:val="21"/>
              </w:rPr>
            </w:r>
            <w:r/>
          </w:p>
        </w:tc>
      </w:tr>
    </w:tbl>
    <w:p>
      <w:pPr>
        <w:pStyle w:val="924"/>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采购</w:t>
            </w:r>
            <w:r>
              <w:rPr>
                <w:rFonts w:ascii="宋体" w:hAnsi="宋体"/>
                <w:szCs w:val="21"/>
              </w:rPr>
            </w:r>
            <w:r/>
          </w:p>
          <w:p>
            <w:pPr>
              <w:pStyle w:val="924"/>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24"/>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24"/>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24"/>
        <w:spacing w:line="0" w:lineRule="atLeast"/>
        <w:rPr>
          <w:rFonts w:ascii="宋体" w:hAnsi="宋体"/>
          <w:sz w:val="24"/>
          <w:szCs w:val="24"/>
        </w:rPr>
      </w:pPr>
      <w:r>
        <w:rPr>
          <w:rFonts w:ascii="宋体" w:hAnsi="宋体"/>
          <w:sz w:val="24"/>
          <w:szCs w:val="24"/>
        </w:rPr>
      </w:r>
      <w:r/>
    </w:p>
    <w:p>
      <w:pPr>
        <w:pStyle w:val="924"/>
        <w:numPr>
          <w:ilvl w:val="0"/>
          <w:numId w:val="0"/>
        </w:numPr>
        <w:rPr>
          <w:rFonts w:hint="eastAsia"/>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演示要求</w:t>
      </w:r>
      <w:r>
        <w:rPr>
          <w:rFonts w:hint="eastAsia"/>
          <w:color w:val="000000"/>
          <w:sz w:val="24"/>
          <w:szCs w:val="24"/>
          <w:highlight w:val="none"/>
        </w:rPr>
      </w:r>
      <w:r/>
    </w:p>
    <w:p>
      <w:pPr>
        <w:pStyle w:val="924"/>
        <w:numPr>
          <w:ilvl w:val="0"/>
          <w:numId w:val="0"/>
        </w:numPr>
        <w:rPr>
          <w:rFonts w:hint="eastAsia" w:ascii="Times New Roman" w:hAnsi="Times New Roman"/>
          <w:sz w:val="24"/>
          <w:szCs w:val="24"/>
        </w:rPr>
      </w:pPr>
      <w:r>
        <w:rPr>
          <w:rFonts w:hint="eastAsia" w:ascii="Times New Roman" w:hAnsi="Times New Roman"/>
          <w:sz w:val="24"/>
          <w:szCs w:val="24"/>
        </w:rPr>
        <w:t xml:space="preserve">演示方式 上传视频演示</w:t>
      </w:r>
      <w:r>
        <w:rPr>
          <w:rFonts w:hint="eastAsia" w:ascii="Times New Roman" w:hAnsi="Times New Roman"/>
          <w:sz w:val="24"/>
          <w:szCs w:val="24"/>
        </w:rPr>
      </w:r>
      <w:r/>
    </w:p>
    <w:p>
      <w:pPr>
        <w:pStyle w:val="924"/>
        <w:ind w:firstLine="480"/>
        <w:spacing w:line="0" w:lineRule="atLeast"/>
        <w:rPr>
          <w:rFonts w:hint="eastAsia" w:ascii="宋体" w:hAnsi="宋体"/>
          <w:sz w:val="24"/>
          <w:szCs w:val="21"/>
        </w:rPr>
      </w:pPr>
      <w:r>
        <w:rPr>
          <w:rFonts w:hint="eastAsia" w:ascii="宋体" w:hAnsi="宋体"/>
          <w:sz w:val="24"/>
          <w:szCs w:val="21"/>
        </w:rPr>
        <w:t xml:space="preserve">1.投标人需按照招标文件规定的演示内容制作演示视频文件，视频文件的格式为</w:t>
      </w:r>
      <w:r>
        <w:rPr>
          <w:rFonts w:ascii="宋体" w:hAnsi="宋体"/>
          <w:sz w:val="24"/>
          <w:szCs w:val="21"/>
        </w:rPr>
        <w:t xml:space="preserve">*</w:t>
      </w:r>
      <w:r>
        <w:rPr>
          <w:rFonts w:hint="eastAsia" w:ascii="宋体" w:hAnsi="宋体"/>
          <w:sz w:val="24"/>
          <w:szCs w:val="21"/>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szCs w:val="21"/>
          <w:u w:val="single"/>
        </w:rPr>
        <w:t xml:space="preserve">15</w:t>
      </w:r>
      <w:r>
        <w:rPr>
          <w:rFonts w:hint="eastAsia" w:ascii="宋体" w:hAnsi="宋体"/>
          <w:sz w:val="24"/>
          <w:szCs w:val="21"/>
        </w:rPr>
        <w:t xml:space="preserve">分钟2.演示内容如下：</w:t>
      </w:r>
      <w:r>
        <w:rPr>
          <w:rFonts w:hint="eastAsia" w:ascii="宋体" w:hAnsi="宋体"/>
          <w:sz w:val="24"/>
          <w:szCs w:val="21"/>
        </w:rPr>
      </w:r>
      <w:r/>
    </w:p>
    <w:p>
      <w:pPr>
        <w:pStyle w:val="924"/>
        <w:ind w:firstLine="480"/>
        <w:spacing w:line="0" w:lineRule="atLeast"/>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1</w:t>
      </w:r>
      <w:r>
        <w:rPr>
          <w:rFonts w:hint="eastAsia" w:ascii="宋体" w:hAnsi="宋体"/>
          <w:sz w:val="24"/>
          <w:szCs w:val="21"/>
        </w:rPr>
        <w:t xml:space="preserve">）具备火点空间定位功能，对于系统上报的火情信息，可实现火情在三维空间的自动居中放大功能。</w:t>
      </w:r>
      <w:r>
        <w:rPr>
          <w:rFonts w:hint="eastAsia" w:ascii="宋体" w:hAnsi="宋体"/>
          <w:sz w:val="24"/>
          <w:szCs w:val="21"/>
        </w:rPr>
      </w:r>
      <w:r/>
    </w:p>
    <w:p>
      <w:pPr>
        <w:pStyle w:val="924"/>
        <w:ind w:firstLine="480"/>
        <w:spacing w:line="0" w:lineRule="atLeast"/>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2</w:t>
      </w:r>
      <w:r>
        <w:rPr>
          <w:rFonts w:hint="eastAsia" w:ascii="宋体" w:hAnsi="宋体"/>
          <w:sz w:val="24"/>
          <w:szCs w:val="21"/>
        </w:rPr>
        <w:t xml:space="preserve">）具备火情视频联动观察功能，对于火点周边可视的高点智能监控，系统可以实现一键自动汇聚观察功能。选定合适的搜索半径，系统自动给出理论上能够看到该火情的所有高点监控。</w:t>
      </w:r>
      <w:r>
        <w:rPr>
          <w:rFonts w:hint="eastAsia" w:ascii="宋体" w:hAnsi="宋体"/>
          <w:sz w:val="24"/>
          <w:szCs w:val="21"/>
        </w:rPr>
      </w:r>
      <w:r/>
    </w:p>
    <w:p>
      <w:pPr>
        <w:pStyle w:val="924"/>
        <w:ind w:firstLine="480"/>
        <w:spacing w:line="0" w:lineRule="atLeast"/>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3</w:t>
      </w:r>
      <w:r>
        <w:rPr>
          <w:rFonts w:hint="eastAsia" w:ascii="宋体" w:hAnsi="宋体"/>
          <w:sz w:val="24"/>
          <w:szCs w:val="21"/>
        </w:rPr>
        <w:t xml:space="preserve">）具备无人机火情协同核查功能，对需要交叉验证的火情，可指定周边飞行半径覆盖的无人机自动前往火点进行递近侦查活动。选取符合要求的无人机后，设置安全飞行高度后，无人机自动执行前往火点的飞行任务，在平台中可实时接收无人机回传的视频影像。</w:t>
      </w:r>
      <w:r>
        <w:rPr>
          <w:rFonts w:hint="eastAsia" w:ascii="宋体" w:hAnsi="宋体"/>
          <w:sz w:val="24"/>
          <w:szCs w:val="21"/>
        </w:rPr>
      </w:r>
      <w:r/>
    </w:p>
    <w:p>
      <w:pPr>
        <w:pStyle w:val="924"/>
        <w:ind w:firstLine="480"/>
        <w:spacing w:line="0" w:lineRule="atLeast"/>
        <w:rPr>
          <w:rFonts w:hint="eastAsia" w:ascii="宋体" w:hAnsi="宋体"/>
          <w:sz w:val="24"/>
          <w:szCs w:val="21"/>
        </w:rPr>
      </w:pPr>
      <w:r>
        <w:rPr>
          <w:rFonts w:hint="eastAsia" w:ascii="宋体" w:hAnsi="宋体"/>
          <w:sz w:val="24"/>
          <w:szCs w:val="21"/>
        </w:rPr>
        <w:t xml:space="preserve">（4）具备周边资源查询功能，通过周边资源查询按钮，可实现火点周边不同空间尺度的扑救资源。</w:t>
      </w:r>
      <w:r>
        <w:rPr>
          <w:rFonts w:hint="eastAsia" w:ascii="宋体" w:hAnsi="宋体"/>
          <w:sz w:val="24"/>
          <w:szCs w:val="21"/>
        </w:rPr>
      </w:r>
      <w:r/>
    </w:p>
    <w:p>
      <w:pPr>
        <w:pStyle w:val="924"/>
        <w:ind w:firstLine="480"/>
        <w:spacing w:line="0" w:lineRule="atLeast"/>
        <w:rPr>
          <w:rFonts w:hint="eastAsia" w:ascii="宋体" w:hAnsi="宋体"/>
          <w:sz w:val="24"/>
          <w:szCs w:val="21"/>
        </w:rPr>
      </w:pPr>
      <w:r>
        <w:rPr>
          <w:rFonts w:hint="eastAsia" w:ascii="宋体" w:hAnsi="宋体"/>
          <w:sz w:val="24"/>
          <w:szCs w:val="21"/>
        </w:rPr>
        <w:t xml:space="preserve">（5）具备路径规划功能，随机选取三维地形上任意一点作为起始点，即可根据公共路网数据和林下防火道路数据（如有），自动生成前往火点的路径</w:t>
      </w:r>
      <w:r>
        <w:rPr>
          <w:rFonts w:hint="eastAsia" w:ascii="宋体" w:hAnsi="宋体"/>
          <w:sz w:val="24"/>
          <w:szCs w:val="21"/>
        </w:rPr>
        <w:t xml:space="preserve">。</w:t>
      </w:r>
      <w:r>
        <w:rPr>
          <w:rFonts w:hint="eastAsia" w:ascii="宋体" w:hAnsi="宋体"/>
          <w:sz w:val="24"/>
          <w:szCs w:val="21"/>
        </w:rPr>
      </w:r>
      <w:r/>
    </w:p>
    <w:p>
      <w:pPr>
        <w:pStyle w:val="924"/>
        <w:rPr>
          <w:rFonts w:hint="eastAsia"/>
        </w:rPr>
      </w:pPr>
      <w:r>
        <w:rPr>
          <w:rFonts w:hint="eastAsia"/>
        </w:rPr>
      </w:r>
      <w:r/>
    </w:p>
    <w:p>
      <w:pPr>
        <w:pStyle w:val="924"/>
        <w:rPr>
          <w:rFonts w:hint="eastAsia"/>
        </w:rPr>
      </w:pPr>
      <w:r>
        <w:rPr>
          <w:rFonts w:hint="eastAsia"/>
        </w:rPr>
      </w:r>
      <w:r/>
    </w:p>
    <w:p>
      <w:pPr>
        <w:pStyle w:val="924"/>
        <w:rPr>
          <w:rFonts w:hint="eastAsia"/>
        </w:rPr>
      </w:pPr>
      <w:r>
        <w:rPr>
          <w:rFonts w:hint="eastAsia"/>
        </w:rPr>
      </w:r>
      <w:r/>
    </w:p>
    <w:p>
      <w:pPr>
        <w:pStyle w:val="924"/>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24"/>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24"/>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24"/>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24"/>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24"/>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2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24"/>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24"/>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2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24"/>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24"/>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24"/>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24"/>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24"/>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pStyle w:val="924"/>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064"/>
        <w:gridCol w:w="7236"/>
        <w:gridCol w:w="899"/>
      </w:tblGrid>
      <w:tr>
        <w:trPr>
          <w:trHeight w:val="179"/>
          <w:tblHeader/>
        </w:trPr>
        <w:tc>
          <w:tcPr>
            <w:tcW w:w="763" w:type="dxa"/>
            <w:vAlign w:val="center"/>
            <w:textDirection w:val="lrTb"/>
            <w:noWrap w:val="false"/>
          </w:tcPr>
          <w:p>
            <w:pPr>
              <w:pStyle w:val="924"/>
              <w:jc w:val="center"/>
              <w:widowControl/>
              <w:rPr>
                <w:rFonts w:hint="eastAsia" w:ascii="宋体" w:hAnsi="宋体" w:eastAsia="宋体" w:cs="宋体"/>
                <w:b/>
                <w:bCs/>
                <w:color w:val="000000"/>
              </w:rPr>
            </w:pPr>
            <w:r>
              <w:rPr>
                <w:rFonts w:hint="eastAsia" w:ascii="宋体" w:hAnsi="宋体" w:eastAsia="宋体" w:cs="宋体"/>
                <w:b/>
                <w:bCs/>
                <w:color w:val="000000"/>
              </w:rPr>
              <w:t xml:space="preserve">序号</w:t>
            </w:r>
            <w:r>
              <w:rPr>
                <w:rFonts w:hint="eastAsia" w:ascii="宋体" w:hAnsi="宋体" w:eastAsia="宋体" w:cs="宋体"/>
                <w:b/>
                <w:bCs/>
                <w:color w:val="000000"/>
              </w:rPr>
            </w:r>
            <w:r/>
          </w:p>
        </w:tc>
        <w:tc>
          <w:tcPr>
            <w:tcW w:w="1064" w:type="dxa"/>
            <w:vAlign w:val="center"/>
            <w:textDirection w:val="lrTb"/>
            <w:noWrap w:val="false"/>
          </w:tcPr>
          <w:p>
            <w:pPr>
              <w:pStyle w:val="924"/>
              <w:jc w:val="center"/>
              <w:widowControl/>
              <w:rPr>
                <w:rFonts w:hint="eastAsia" w:ascii="宋体" w:hAnsi="宋体" w:eastAsia="宋体" w:cs="宋体"/>
                <w:b/>
                <w:bCs/>
                <w:color w:val="000000"/>
              </w:rPr>
            </w:pPr>
            <w:r>
              <w:rPr>
                <w:rFonts w:hint="eastAsia" w:ascii="宋体" w:hAnsi="宋体" w:eastAsia="宋体" w:cs="宋体"/>
                <w:b/>
                <w:bCs/>
                <w:color w:val="000000"/>
              </w:rPr>
              <w:t xml:space="preserve">评审因素</w:t>
            </w:r>
            <w:r>
              <w:rPr>
                <w:rFonts w:hint="eastAsia" w:ascii="宋体" w:hAnsi="宋体" w:eastAsia="宋体" w:cs="宋体"/>
                <w:b/>
                <w:bCs/>
                <w:color w:val="000000"/>
              </w:rPr>
            </w:r>
            <w:r/>
          </w:p>
        </w:tc>
        <w:tc>
          <w:tcPr>
            <w:tcW w:w="7236" w:type="dxa"/>
            <w:vAlign w:val="center"/>
            <w:textDirection w:val="lrTb"/>
            <w:noWrap w:val="false"/>
          </w:tcPr>
          <w:p>
            <w:pPr>
              <w:pStyle w:val="924"/>
              <w:jc w:val="center"/>
              <w:widowControl/>
              <w:rPr>
                <w:rFonts w:hint="eastAsia" w:ascii="宋体" w:hAnsi="宋体" w:eastAsia="宋体" w:cs="宋体"/>
                <w:b/>
                <w:bCs/>
                <w:color w:val="000000"/>
              </w:rPr>
            </w:pPr>
            <w:r>
              <w:rPr>
                <w:rFonts w:hint="eastAsia" w:ascii="宋体" w:hAnsi="宋体" w:eastAsia="宋体" w:cs="宋体"/>
                <w:b/>
                <w:bCs/>
                <w:color w:val="000000"/>
              </w:rPr>
              <w:t xml:space="preserve">评审标准</w:t>
            </w:r>
            <w:r>
              <w:rPr>
                <w:rFonts w:hint="eastAsia" w:ascii="宋体" w:hAnsi="宋体" w:eastAsia="宋体" w:cs="宋体"/>
                <w:b/>
                <w:bCs/>
                <w:color w:val="000000"/>
              </w:rPr>
            </w:r>
            <w:r/>
          </w:p>
        </w:tc>
        <w:tc>
          <w:tcPr>
            <w:tcW w:w="899" w:type="dxa"/>
            <w:vAlign w:val="center"/>
            <w:textDirection w:val="lrTb"/>
            <w:noWrap w:val="false"/>
          </w:tcPr>
          <w:p>
            <w:pPr>
              <w:pStyle w:val="924"/>
              <w:jc w:val="center"/>
              <w:widowControl/>
              <w:rPr>
                <w:rFonts w:hint="eastAsia" w:ascii="宋体" w:hAnsi="宋体" w:eastAsia="宋体" w:cs="宋体"/>
                <w:b/>
                <w:bCs/>
                <w:color w:val="000000"/>
              </w:rPr>
            </w:pPr>
            <w:r>
              <w:rPr>
                <w:rFonts w:hint="eastAsia" w:ascii="宋体" w:hAnsi="宋体" w:eastAsia="宋体" w:cs="宋体"/>
                <w:b/>
                <w:bCs/>
                <w:color w:val="000000"/>
              </w:rPr>
              <w:t xml:space="preserve">分值</w:t>
            </w:r>
            <w:r>
              <w:rPr>
                <w:rFonts w:hint="eastAsia" w:ascii="宋体" w:hAnsi="宋体" w:eastAsia="宋体" w:cs="宋体"/>
                <w:b/>
                <w:bCs/>
                <w:color w:val="000000"/>
              </w:rPr>
            </w:r>
            <w:r/>
          </w:p>
        </w:tc>
      </w:tr>
      <w:tr>
        <w:trPr>
          <w:trHeight w:val="353"/>
        </w:trPr>
        <w:tc>
          <w:tcPr>
            <w:tcW w:w="763" w:type="dxa"/>
            <w:vAlign w:val="center"/>
            <w:textDirection w:val="lrTb"/>
            <w:noWrap w:val="false"/>
          </w:tcPr>
          <w:p>
            <w:pPr>
              <w:pStyle w:val="924"/>
              <w:jc w:val="center"/>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lang w:val="en-US" w:eastAsia="zh-CN"/>
              </w:rPr>
              <w:t xml:space="preserve">1</w:t>
            </w:r>
            <w:r>
              <w:rPr>
                <w:rFonts w:hint="eastAsia" w:ascii="宋体" w:hAnsi="宋体" w:eastAsia="宋体" w:cs="宋体"/>
                <w:b/>
                <w:bCs/>
                <w:color w:val="000000"/>
                <w:sz w:val="21"/>
                <w:szCs w:val="21"/>
                <w:lang w:val="en-US" w:eastAsia="zh-CN" w:bidi="ar-SA"/>
              </w:rPr>
            </w:r>
            <w:r/>
          </w:p>
        </w:tc>
        <w:tc>
          <w:tcPr>
            <w:gridSpan w:val="3"/>
            <w:tcW w:w="9199" w:type="dxa"/>
            <w:vAlign w:val="center"/>
            <w:textDirection w:val="lrTb"/>
            <w:noWrap w:val="false"/>
          </w:tcPr>
          <w:p>
            <w:pPr>
              <w:pStyle w:val="924"/>
              <w:jc w:val="center"/>
              <w:widowControl/>
              <w:rPr>
                <w:rFonts w:hint="eastAsia" w:ascii="宋体" w:hAnsi="宋体" w:eastAsia="宋体" w:cs="宋体"/>
                <w:color w:val="000000"/>
                <w:lang w:val="en-US"/>
              </w:rPr>
            </w:pPr>
            <w:r>
              <w:rPr>
                <w:rFonts w:hint="eastAsia" w:ascii="宋体" w:hAnsi="宋体" w:eastAsia="宋体" w:cs="宋体"/>
                <w:b/>
                <w:bCs/>
                <w:color w:val="000000"/>
                <w:lang w:val="en-US" w:eastAsia="zh-CN"/>
              </w:rPr>
              <w:t xml:space="preserve">价格部分（</w:t>
            </w:r>
            <w:r>
              <w:rPr>
                <w:rFonts w:hint="eastAsia" w:ascii="宋体" w:hAnsi="宋体" w:cs="宋体"/>
                <w:b/>
                <w:bCs/>
                <w:color w:val="000000"/>
                <w:lang w:val="en-US" w:eastAsia="zh-CN"/>
              </w:rPr>
              <w:t xml:space="preserve">30</w:t>
            </w:r>
            <w:r>
              <w:rPr>
                <w:rFonts w:hint="eastAsia" w:ascii="宋体" w:hAnsi="宋体" w:eastAsia="宋体" w:cs="宋体"/>
                <w:b/>
                <w:bCs/>
                <w:color w:val="000000"/>
                <w:lang w:val="en-US" w:eastAsia="zh-CN"/>
              </w:rPr>
              <w:t xml:space="preserve">分）</w:t>
            </w:r>
            <w:r>
              <w:rPr>
                <w:rFonts w:hint="eastAsia" w:ascii="宋体" w:hAnsi="宋体" w:eastAsia="宋体" w:cs="宋体"/>
                <w:color w:val="000000"/>
                <w:lang w:val="en-US"/>
              </w:rPr>
            </w:r>
            <w:r/>
          </w:p>
        </w:tc>
      </w:tr>
      <w:tr>
        <w:trPr>
          <w:trHeight w:val="284"/>
        </w:trPr>
        <w:tc>
          <w:tcPr>
            <w:tcW w:w="763"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.1</w:t>
            </w:r>
            <w:r>
              <w:rPr>
                <w:rFonts w:hint="eastAsia" w:ascii="宋体" w:hAnsi="宋体" w:eastAsia="宋体" w:cs="宋体"/>
                <w:color w:val="000000"/>
                <w:sz w:val="21"/>
                <w:szCs w:val="21"/>
                <w:lang w:val="en-US" w:eastAsia="zh-CN" w:bidi="ar-SA"/>
              </w:rPr>
            </w:r>
            <w:r/>
          </w:p>
        </w:tc>
        <w:tc>
          <w:tcPr>
            <w:tcW w:w="1064" w:type="dxa"/>
            <w:vAlign w:val="center"/>
            <w:textDirection w:val="lrTb"/>
            <w:noWrap w:val="false"/>
          </w:tcPr>
          <w:p>
            <w:pPr>
              <w:pStyle w:val="924"/>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rPr>
              <w:t xml:space="preserve">价格</w:t>
            </w:r>
            <w:r>
              <w:rPr>
                <w:rFonts w:hint="eastAsia"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rPr>
              <w:t xml:space="preserve">采用低价优先法计算，即满足招标文件要求且投标价格低的投标报价为评标基准价，其价格分为满分。其他投标供应商的价格分按照下列公式计算（小数点保留两位）：投标报价得分=(评标基准价／投标报价)×</w:t>
            </w:r>
            <w:r>
              <w:rPr>
                <w:rFonts w:hint="eastAsia" w:ascii="宋体" w:hAnsi="宋体" w:eastAsia="宋体" w:cs="宋体"/>
                <w:color w:val="000000"/>
                <w:lang w:val="en-US" w:eastAsia="zh-CN"/>
              </w:rPr>
              <w:t xml:space="preserve">30</w:t>
            </w:r>
            <w:r>
              <w:rPr>
                <w:rFonts w:hint="eastAsia" w:ascii="宋体" w:hAnsi="宋体" w:cs="宋体"/>
                <w:color w:val="000000"/>
                <w:lang w:val="en-US" w:eastAsia="zh-CN"/>
              </w:rPr>
              <w:t xml:space="preserve">。</w:t>
            </w:r>
            <w:r>
              <w:rPr>
                <w:rFonts w:hint="eastAsia" w:ascii="宋体" w:hAnsi="宋体" w:eastAsia="宋体" w:cs="宋体"/>
                <w:color w:val="000000"/>
                <w:sz w:val="21"/>
                <w:szCs w:val="21"/>
                <w:lang w:val="en-US" w:eastAsia="zh-CN" w:bidi="ar-SA"/>
              </w:rPr>
            </w:r>
            <w:r/>
          </w:p>
        </w:tc>
        <w:tc>
          <w:tcPr>
            <w:tcW w:w="899"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sz w:val="21"/>
                <w:szCs w:val="21"/>
                <w:lang w:val="en-US" w:eastAsia="zh-CN" w:bidi="ar-SA"/>
              </w:rPr>
            </w:r>
            <w:r/>
          </w:p>
        </w:tc>
      </w:tr>
      <w:tr>
        <w:trPr>
          <w:trHeight w:val="337"/>
        </w:trPr>
        <w:tc>
          <w:tcPr>
            <w:tcW w:w="763"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b/>
                <w:bCs/>
                <w:color w:val="000000"/>
                <w:lang w:val="en-US" w:eastAsia="zh-CN"/>
              </w:rPr>
              <w:t xml:space="preserve">2</w:t>
            </w:r>
            <w:r>
              <w:rPr>
                <w:rFonts w:hint="eastAsia" w:ascii="宋体" w:hAnsi="宋体" w:eastAsia="宋体" w:cs="宋体"/>
                <w:color w:val="000000"/>
                <w:lang w:val="en-US" w:eastAsia="zh-CN"/>
              </w:rPr>
            </w:r>
            <w:r/>
          </w:p>
        </w:tc>
        <w:tc>
          <w:tcPr>
            <w:gridSpan w:val="3"/>
            <w:tcW w:w="9199"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b/>
                <w:bCs/>
                <w:color w:val="000000"/>
                <w:lang w:val="en-US" w:eastAsia="zh-CN"/>
              </w:rPr>
              <w:t xml:space="preserve">商务部分（</w:t>
            </w:r>
            <w:r>
              <w:rPr>
                <w:rFonts w:hint="eastAsia" w:ascii="宋体" w:hAnsi="宋体" w:cs="宋体"/>
                <w:b/>
                <w:bCs/>
                <w:color w:val="000000"/>
                <w:lang w:val="en-US" w:eastAsia="zh-CN"/>
              </w:rPr>
              <w:t xml:space="preserve">18</w:t>
            </w:r>
            <w:r>
              <w:rPr>
                <w:rFonts w:hint="eastAsia" w:ascii="宋体" w:hAnsi="宋体" w:eastAsia="宋体" w:cs="宋体"/>
                <w:b/>
                <w:bCs/>
                <w:color w:val="000000"/>
                <w:lang w:val="en-US" w:eastAsia="zh-CN"/>
              </w:rPr>
              <w:t xml:space="preserve">分）</w:t>
            </w:r>
            <w:r>
              <w:rPr>
                <w:rFonts w:hint="eastAsia" w:ascii="宋体" w:hAnsi="宋体" w:eastAsia="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hint="eastAsia" w:ascii="宋体" w:hAnsi="宋体" w:eastAsia="宋体" w:cs="宋体"/>
                <w:color w:val="000000"/>
              </w:rPr>
            </w:pPr>
            <w:r>
              <w:rPr>
                <w:rFonts w:hint="eastAsia" w:ascii="宋体" w:hAnsi="宋体" w:eastAsia="宋体" w:cs="宋体"/>
                <w:color w:val="000000"/>
              </w:rPr>
              <w:t xml:space="preserve">2.1</w:t>
            </w:r>
            <w:r>
              <w:rPr>
                <w:rFonts w:hint="eastAsia" w:ascii="宋体" w:hAnsi="宋体" w:eastAsia="宋体" w:cs="宋体"/>
                <w:color w:val="000000"/>
              </w:rPr>
            </w:r>
            <w:r/>
          </w:p>
        </w:tc>
        <w:tc>
          <w:tcPr>
            <w:tcW w:w="1064" w:type="dxa"/>
            <w:vAlign w:val="center"/>
            <w:textDirection w:val="lrTb"/>
            <w:noWrap w:val="false"/>
          </w:tcPr>
          <w:p>
            <w:pPr>
              <w:pStyle w:val="924"/>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rPr>
              <w:t xml:space="preserve">业绩</w:t>
            </w:r>
            <w:r>
              <w:rPr>
                <w:rFonts w:hint="eastAsia"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hint="eastAsia" w:ascii="宋体" w:hAnsi="宋体" w:eastAsia="宋体" w:cs="宋体"/>
                <w:color w:val="000000"/>
              </w:rPr>
            </w:pPr>
            <w:r>
              <w:rPr>
                <w:rFonts w:hint="eastAsia" w:ascii="宋体" w:hAnsi="宋体" w:eastAsia="宋体" w:cs="宋体"/>
                <w:color w:val="000000"/>
              </w:rPr>
              <w:t xml:space="preserve">投标人提供2022年1月1日（以合同签订时间为准）以来</w:t>
            </w:r>
            <w:r>
              <w:rPr>
                <w:rFonts w:hint="eastAsia" w:ascii="宋体" w:hAnsi="宋体" w:cs="宋体"/>
                <w:color w:val="000000"/>
                <w:lang w:val="en-US" w:eastAsia="zh-CN"/>
              </w:rPr>
              <w:t xml:space="preserve">同</w:t>
            </w:r>
            <w:r>
              <w:rPr>
                <w:rFonts w:hint="eastAsia" w:ascii="宋体" w:hAnsi="宋体" w:eastAsia="宋体" w:cs="宋体"/>
                <w:color w:val="000000"/>
              </w:rPr>
              <w:t xml:space="preserve">类业务合同，每提供一</w:t>
            </w:r>
            <w:r>
              <w:rPr>
                <w:rFonts w:hint="eastAsia" w:ascii="宋体" w:hAnsi="宋体" w:eastAsia="宋体" w:cs="宋体"/>
                <w:color w:val="000000"/>
                <w:lang w:val="en-US" w:eastAsia="zh-CN"/>
              </w:rPr>
              <w:t xml:space="preserve">类</w:t>
            </w:r>
            <w:r>
              <w:rPr>
                <w:rFonts w:hint="eastAsia" w:ascii="宋体" w:hAnsi="宋体" w:eastAsia="宋体" w:cs="宋体"/>
                <w:color w:val="000000"/>
              </w:rPr>
              <w:t xml:space="preserve">合同得</w:t>
            </w:r>
            <w:r>
              <w:rPr>
                <w:rFonts w:hint="eastAsia" w:ascii="宋体" w:hAnsi="宋体" w:cs="宋体"/>
                <w:color w:val="000000"/>
                <w:lang w:val="en-US" w:eastAsia="zh-CN"/>
              </w:rPr>
              <w:t xml:space="preserve">1</w:t>
            </w:r>
            <w:r>
              <w:rPr>
                <w:rFonts w:hint="eastAsia" w:ascii="宋体" w:hAnsi="宋体" w:eastAsia="宋体" w:cs="宋体"/>
                <w:color w:val="000000"/>
              </w:rPr>
              <w:t xml:space="preserve">分，最高得</w:t>
            </w:r>
            <w:r>
              <w:rPr>
                <w:rFonts w:hint="eastAsia" w:ascii="宋体" w:hAnsi="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rPr>
            </w:r>
            <w:r/>
          </w:p>
          <w:p>
            <w:pPr>
              <w:pStyle w:val="924"/>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需</w:t>
            </w:r>
            <w:r>
              <w:rPr>
                <w:rFonts w:hint="eastAsia" w:ascii="宋体" w:hAnsi="宋体" w:eastAsia="宋体" w:cs="宋体"/>
                <w:color w:val="000000"/>
              </w:rPr>
              <w:t xml:space="preserve">提供项目合同首页、合同金额页、合同签字盖章页、关键清单页，并加盖公章</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否则不得分</w:t>
            </w:r>
            <w:r>
              <w:rPr>
                <w:rFonts w:hint="eastAsia" w:ascii="宋体" w:hAnsi="宋体" w:eastAsia="宋体" w:cs="宋体"/>
                <w:color w:val="000000"/>
              </w:rPr>
              <w:t xml:space="preserve">。</w:t>
            </w:r>
            <w:r>
              <w:rPr>
                <w:rFonts w:hint="eastAsia" w:ascii="宋体" w:hAnsi="宋体" w:eastAsia="宋体" w:cs="宋体"/>
                <w:color w:val="000000"/>
                <w:sz w:val="21"/>
                <w:szCs w:val="21"/>
                <w:lang w:val="en-US" w:eastAsia="zh-CN" w:bidi="ar-SA"/>
              </w:rPr>
            </w:r>
            <w:r/>
          </w:p>
        </w:tc>
        <w:tc>
          <w:tcPr>
            <w:tcW w:w="899"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2</w:t>
            </w:r>
            <w:r>
              <w:rPr>
                <w:rFonts w:hint="eastAsia" w:ascii="宋体" w:hAnsi="宋体" w:eastAsia="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2.2</w:t>
            </w:r>
            <w:r>
              <w:rPr>
                <w:rFonts w:hint="eastAsia" w:ascii="宋体" w:hAnsi="宋体" w:eastAsia="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企业资信</w:t>
            </w:r>
            <w:r>
              <w:rPr>
                <w:rFonts w:hint="eastAsia"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rPr>
              <w:t xml:space="preserve">投标人</w:t>
            </w:r>
            <w:r>
              <w:rPr>
                <w:rFonts w:hint="eastAsia" w:ascii="宋体" w:hAnsi="宋体" w:eastAsia="宋体" w:cs="宋体"/>
                <w:szCs w:val="21"/>
              </w:rPr>
              <w:t xml:space="preserve">具备</w:t>
            </w:r>
            <w:r>
              <w:rPr>
                <w:rFonts w:hint="eastAsia" w:ascii="宋体" w:hAnsi="宋体" w:eastAsia="宋体" w:cs="宋体"/>
                <w:strike w:val="0"/>
                <w:szCs w:val="21"/>
              </w:rPr>
              <w:t xml:space="preserve">质量管理体系认证证书</w:t>
            </w:r>
            <w:r>
              <w:rPr>
                <w:rFonts w:hint="eastAsia" w:ascii="宋体" w:hAnsi="宋体" w:eastAsia="宋体" w:cs="宋体"/>
                <w:szCs w:val="21"/>
                <w:lang w:eastAsia="zh-CN"/>
              </w:rPr>
              <w:t xml:space="preserve">、</w:t>
            </w:r>
            <w:r>
              <w:rPr>
                <w:rFonts w:hint="eastAsia" w:ascii="宋体" w:hAnsi="宋体" w:eastAsia="宋体" w:cs="宋体"/>
                <w:szCs w:val="21"/>
              </w:rPr>
              <w:t xml:space="preserve">售后服务认证证书</w:t>
            </w:r>
            <w:r>
              <w:rPr>
                <w:rFonts w:hint="eastAsia" w:ascii="Times New Roman" w:hAnsi="Times New Roman" w:eastAsia="宋体" w:cs="Times New Roman"/>
                <w:color w:val="000000"/>
                <w:szCs w:val="21"/>
                <w:lang w:eastAsia="zh-CN"/>
              </w:rPr>
              <w:t xml:space="preserve">。</w:t>
            </w:r>
            <w:r>
              <w:rPr>
                <w:rFonts w:hint="eastAsia" w:ascii="宋体" w:hAnsi="宋体" w:eastAsia="宋体" w:cs="宋体"/>
                <w:color w:val="000000"/>
              </w:rPr>
              <w:t xml:space="preserve">每提供1个得1分，最高得</w:t>
            </w:r>
            <w:r>
              <w:rPr>
                <w:rFonts w:hint="eastAsia" w:ascii="宋体" w:hAnsi="宋体" w:cs="宋体"/>
                <w:color w:val="000000"/>
                <w:lang w:val="en-US" w:eastAsia="zh-CN"/>
              </w:rPr>
              <w:t xml:space="preserve">2</w:t>
            </w:r>
            <w:r>
              <w:rPr>
                <w:rFonts w:hint="eastAsia" w:ascii="宋体" w:hAnsi="宋体" w:eastAsia="宋体" w:cs="宋体"/>
                <w:color w:val="000000"/>
              </w:rPr>
              <w:t xml:space="preserve">分。</w:t>
            </w:r>
            <w:r>
              <w:rPr>
                <w:rFonts w:hint="eastAsia" w:ascii="宋体" w:hAnsi="宋体" w:eastAsia="宋体" w:cs="宋体"/>
                <w:color w:val="000000"/>
                <w:lang w:val="en-US" w:eastAsia="zh-CN"/>
              </w:rPr>
              <w:t xml:space="preserve">需</w:t>
            </w:r>
            <w:r>
              <w:rPr>
                <w:rFonts w:hint="eastAsia" w:ascii="宋体" w:hAnsi="宋体" w:eastAsia="宋体" w:cs="宋体"/>
                <w:color w:val="000000"/>
              </w:rPr>
              <w:t xml:space="preserve">提供有效期内的相应认证资质证明复印件加盖公章，否则</w:t>
            </w:r>
            <w:r>
              <w:rPr>
                <w:rFonts w:hint="eastAsia" w:ascii="宋体" w:hAnsi="宋体" w:eastAsia="宋体" w:cs="宋体"/>
                <w:color w:val="000000"/>
                <w:lang w:eastAsia="zh-CN"/>
              </w:rPr>
              <w:t xml:space="preserve">不得分</w:t>
            </w:r>
            <w:r>
              <w:rPr>
                <w:rFonts w:hint="eastAsia" w:ascii="宋体" w:hAnsi="宋体" w:eastAsia="宋体" w:cs="宋体"/>
                <w:color w:val="000000"/>
              </w:rPr>
              <w:t xml:space="preserve">。</w:t>
            </w:r>
            <w:r>
              <w:rPr>
                <w:rFonts w:hint="eastAsia" w:ascii="宋体" w:hAnsi="宋体" w:eastAsia="宋体" w:cs="宋体"/>
                <w:color w:val="000000"/>
                <w:sz w:val="21"/>
                <w:szCs w:val="21"/>
                <w:lang w:val="en-US" w:eastAsia="zh-CN" w:bidi="ar-SA"/>
              </w:rPr>
            </w:r>
            <w:r/>
          </w:p>
        </w:tc>
        <w:tc>
          <w:tcPr>
            <w:tcW w:w="899"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2</w:t>
            </w:r>
            <w:r>
              <w:rPr>
                <w:rFonts w:hint="eastAsia" w:ascii="宋体" w:hAnsi="宋体" w:eastAsia="宋体" w:cs="宋体"/>
                <w:color w:val="000000"/>
                <w:lang w:val="en-US" w:eastAsia="zh-CN"/>
              </w:rPr>
            </w:r>
            <w:r/>
          </w:p>
        </w:tc>
      </w:tr>
      <w:tr>
        <w:trPr>
          <w:trHeight w:val="1446"/>
        </w:trPr>
        <w:tc>
          <w:tcPr>
            <w:tcW w:w="763"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2.3</w:t>
            </w:r>
            <w:r>
              <w:rPr>
                <w:rFonts w:hint="eastAsia" w:ascii="宋体" w:hAnsi="宋体" w:eastAsia="宋体" w:cs="宋体"/>
                <w:color w:val="000000"/>
                <w:lang w:val="en-US" w:eastAsia="zh-CN"/>
              </w:rPr>
            </w:r>
            <w:r/>
          </w:p>
        </w:tc>
        <w:tc>
          <w:tcPr>
            <w:tcW w:w="1064" w:type="dxa"/>
            <w:vAlign w:val="center"/>
            <w:textDirection w:val="lrTb"/>
            <w:noWrap w:val="false"/>
          </w:tcPr>
          <w:p>
            <w:pPr>
              <w:pStyle w:val="924"/>
              <w:jc w:val="center"/>
              <w:widowControl/>
              <w:rPr>
                <w:rFonts w:ascii="宋体" w:hAnsi="宋体" w:eastAsia="宋体" w:cs="宋体"/>
                <w:color w:val="000000"/>
                <w:sz w:val="21"/>
                <w:szCs w:val="21"/>
                <w:lang w:val="en-US" w:eastAsia="zh-CN" w:bidi="ar-SA"/>
              </w:rPr>
            </w:pPr>
            <w:r>
              <w:rPr>
                <w:rFonts w:hint="eastAsia" w:ascii="宋体" w:hAnsi="宋体" w:eastAsia="宋体" w:cs="宋体"/>
                <w:color w:val="000000"/>
              </w:rPr>
              <w:t xml:space="preserve">软件著作权</w:t>
            </w:r>
            <w:r>
              <w:rPr>
                <w:rFonts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ascii="宋体" w:hAnsi="宋体" w:cs="宋体"/>
                <w:color w:val="000000"/>
                <w:lang w:val="en-US" w:eastAsia="zh-CN"/>
              </w:rPr>
            </w:pPr>
            <w:r>
              <w:rPr>
                <w:rFonts w:hint="eastAsia" w:ascii="宋体" w:hAnsi="宋体" w:eastAsia="宋体" w:cs="宋体"/>
                <w:color w:val="000000"/>
              </w:rPr>
              <w:t xml:space="preserve">投标人</w:t>
            </w:r>
            <w:r>
              <w:rPr>
                <w:rFonts w:hint="eastAsia" w:ascii="宋体" w:hAnsi="宋体" w:cs="宋体"/>
                <w:color w:val="000000"/>
                <w:lang w:val="en-US" w:eastAsia="zh-CN"/>
              </w:rPr>
              <w:t xml:space="preserve">或所投产品制造商</w:t>
            </w:r>
            <w:r>
              <w:rPr>
                <w:rFonts w:hint="eastAsia" w:ascii="宋体" w:hAnsi="宋体" w:eastAsia="宋体" w:cs="宋体"/>
                <w:color w:val="000000"/>
              </w:rPr>
              <w:t xml:space="preserve">具备与本项目系统相关的软件著作权证书</w:t>
            </w:r>
            <w:r>
              <w:rPr>
                <w:rFonts w:hint="eastAsia" w:ascii="宋体" w:hAnsi="宋体" w:cs="宋体"/>
                <w:color w:val="000000"/>
                <w:lang w:eastAsia="zh-CN"/>
              </w:rPr>
              <w:t xml:space="preserve">。</w:t>
            </w:r>
            <w:r>
              <w:rPr>
                <w:rFonts w:hint="eastAsia" w:ascii="宋体" w:hAnsi="宋体" w:cs="宋体"/>
                <w:color w:val="000000"/>
                <w:lang w:val="en-US" w:eastAsia="zh-CN"/>
              </w:rPr>
              <w:t xml:space="preserve">软著</w:t>
            </w:r>
            <w:r>
              <w:rPr>
                <w:rFonts w:hint="eastAsia" w:ascii="宋体" w:hAnsi="宋体" w:eastAsia="宋体" w:cs="宋体"/>
                <w:color w:val="000000"/>
              </w:rPr>
              <w:t xml:space="preserve">证书名称包含“</w:t>
            </w:r>
            <w:r>
              <w:rPr>
                <w:rFonts w:hint="eastAsia" w:ascii="宋体" w:hAnsi="宋体" w:cs="宋体"/>
                <w:color w:val="000000"/>
                <w:lang w:val="en-US" w:eastAsia="zh-CN"/>
              </w:rPr>
              <w:t xml:space="preserve">森林/芦苇防火</w:t>
            </w:r>
            <w:r>
              <w:rPr>
                <w:rFonts w:hint="eastAsia" w:ascii="宋体" w:hAnsi="宋体" w:eastAsia="宋体" w:cs="宋体"/>
                <w:color w:val="000000"/>
                <w:lang w:eastAsia="zh-CN"/>
              </w:rPr>
              <w:t xml:space="preserve">”“</w:t>
            </w:r>
            <w:r>
              <w:rPr>
                <w:rFonts w:hint="eastAsia" w:ascii="宋体" w:hAnsi="宋体" w:cs="宋体"/>
                <w:color w:val="000000"/>
                <w:lang w:val="en-US" w:eastAsia="zh-CN"/>
              </w:rPr>
              <w:t xml:space="preserve">烟火识别</w:t>
            </w:r>
            <w:r>
              <w:rPr>
                <w:rFonts w:hint="eastAsia" w:ascii="宋体" w:hAnsi="宋体" w:eastAsia="宋体" w:cs="宋体"/>
                <w:color w:val="000000"/>
                <w:lang w:eastAsia="zh-CN"/>
              </w:rPr>
              <w:t xml:space="preserve">”</w:t>
            </w:r>
            <w:r>
              <w:rPr>
                <w:rFonts w:hint="eastAsia" w:ascii="宋体" w:hAnsi="宋体" w:cs="宋体"/>
                <w:color w:val="000000"/>
                <w:lang w:eastAsia="zh-CN"/>
              </w:rPr>
              <w:t xml:space="preserve">“防火监督</w:t>
            </w:r>
            <w:r>
              <w:rPr>
                <w:rFonts w:hint="eastAsia" w:ascii="宋体" w:hAnsi="宋体" w:cs="宋体"/>
                <w:color w:val="000000"/>
                <w:lang w:val="en-US" w:eastAsia="zh-CN"/>
              </w:rPr>
              <w:t xml:space="preserve">检查</w:t>
            </w:r>
            <w:r>
              <w:rPr>
                <w:rFonts w:hint="eastAsia" w:ascii="宋体" w:hAnsi="宋体" w:cs="宋体"/>
                <w:color w:val="000000"/>
                <w:lang w:eastAsia="zh-CN"/>
              </w:rPr>
              <w:t xml:space="preserve">”“</w:t>
            </w:r>
            <w:r>
              <w:rPr>
                <w:rFonts w:hint="eastAsia" w:ascii="宋体" w:hAnsi="宋体" w:cs="宋体"/>
                <w:color w:val="000000"/>
                <w:lang w:val="en-US" w:eastAsia="zh-CN"/>
              </w:rPr>
              <w:t xml:space="preserve">火灾风险评估</w:t>
            </w:r>
            <w:r>
              <w:rPr>
                <w:rFonts w:hint="eastAsia" w:ascii="宋体" w:hAnsi="宋体" w:cs="宋体"/>
                <w:color w:val="000000"/>
                <w:lang w:eastAsia="zh-CN"/>
              </w:rPr>
              <w:t xml:space="preserve">”“</w:t>
            </w:r>
            <w:r>
              <w:rPr>
                <w:rFonts w:hint="eastAsia" w:ascii="宋体" w:hAnsi="宋体" w:cs="宋体"/>
                <w:color w:val="000000"/>
                <w:lang w:val="en-US" w:eastAsia="zh-CN"/>
              </w:rPr>
              <w:t xml:space="preserve">态势感知与预警</w:t>
            </w:r>
            <w:r>
              <w:rPr>
                <w:rFonts w:hint="eastAsia" w:ascii="宋体" w:hAnsi="宋体" w:cs="宋体"/>
                <w:color w:val="000000"/>
                <w:lang w:eastAsia="zh-CN"/>
              </w:rPr>
              <w:t xml:space="preserve">”</w:t>
            </w:r>
            <w:r>
              <w:rPr>
                <w:rFonts w:hint="eastAsia" w:ascii="宋体" w:hAnsi="宋体" w:eastAsia="宋体" w:cs="宋体"/>
                <w:color w:val="000000"/>
                <w:lang w:val="en-US" w:eastAsia="zh-CN"/>
              </w:rPr>
              <w:t xml:space="preserve">关键字</w:t>
            </w:r>
            <w:r>
              <w:rPr>
                <w:rFonts w:hint="eastAsia" w:ascii="宋体" w:hAnsi="宋体" w:eastAsia="宋体" w:cs="宋体"/>
                <w:color w:val="000000"/>
              </w:rPr>
              <w:t xml:space="preserve">，每具备一</w:t>
            </w:r>
            <w:r>
              <w:rPr>
                <w:rFonts w:hint="eastAsia" w:ascii="宋体" w:hAnsi="宋体" w:eastAsia="宋体" w:cs="宋体"/>
                <w:color w:val="000000"/>
                <w:lang w:val="en-US" w:eastAsia="zh-CN"/>
              </w:rPr>
              <w:t xml:space="preserve">个</w:t>
            </w:r>
            <w:r>
              <w:rPr>
                <w:rFonts w:hint="eastAsia" w:ascii="宋体" w:hAnsi="宋体" w:eastAsia="宋体" w:cs="宋体"/>
                <w:color w:val="000000"/>
              </w:rPr>
              <w:t xml:space="preserve">证书得</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分，最高得</w:t>
            </w:r>
            <w:r>
              <w:rPr>
                <w:rFonts w:hint="eastAsia" w:ascii="宋体" w:hAnsi="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lang w:val="en-US" w:eastAsia="zh-CN"/>
              </w:rPr>
              <w:t xml:space="preserve">名称可以不完全一致，但内容应包含相关信息内容。需</w:t>
            </w:r>
            <w:r>
              <w:rPr>
                <w:rFonts w:hint="eastAsia" w:ascii="宋体" w:hAnsi="宋体" w:eastAsia="宋体" w:cs="宋体"/>
                <w:color w:val="000000"/>
              </w:rPr>
              <w:t xml:space="preserve">提供有效期内的相应</w:t>
            </w:r>
            <w:r>
              <w:rPr>
                <w:rFonts w:hint="eastAsia" w:ascii="宋体" w:hAnsi="宋体" w:eastAsia="宋体" w:cs="宋体"/>
                <w:color w:val="000000"/>
                <w:lang w:val="en-US" w:eastAsia="zh-CN"/>
              </w:rPr>
              <w:t xml:space="preserve">软件著作权</w:t>
            </w:r>
            <w:r>
              <w:rPr>
                <w:rFonts w:hint="eastAsia" w:ascii="宋体" w:hAnsi="宋体" w:eastAsia="宋体" w:cs="宋体"/>
                <w:color w:val="000000"/>
              </w:rPr>
              <w:t xml:space="preserve">复印件加盖公章，否则</w:t>
            </w:r>
            <w:r>
              <w:rPr>
                <w:rFonts w:hint="eastAsia" w:ascii="宋体" w:hAnsi="宋体" w:eastAsia="宋体" w:cs="宋体"/>
                <w:color w:val="000000"/>
                <w:lang w:eastAsia="zh-CN"/>
              </w:rPr>
              <w:t xml:space="preserve">不得分</w:t>
            </w:r>
            <w:r>
              <w:rPr>
                <w:rFonts w:hint="eastAsia" w:ascii="宋体" w:hAnsi="宋体" w:eastAsia="宋体" w:cs="宋体"/>
                <w:color w:val="000000"/>
              </w:rPr>
              <w:t xml:space="preserve">。</w:t>
            </w:r>
            <w:r>
              <w:rPr>
                <w:rFonts w:hint="eastAsia" w:ascii="宋体" w:hAnsi="宋体" w:cs="宋体"/>
                <w:color w:val="000000"/>
                <w:lang w:val="en-US" w:eastAsia="zh-CN"/>
              </w:rPr>
              <w:t xml:space="preserve">同类证书不重复计分。</w:t>
            </w:r>
            <w:r>
              <w:rPr>
                <w:rFonts w:ascii="宋体" w:hAnsi="宋体" w:cs="宋体"/>
                <w:color w:val="000000"/>
                <w:lang w:val="en-US" w:eastAsia="zh-CN"/>
              </w:rPr>
            </w:r>
            <w:r/>
          </w:p>
        </w:tc>
        <w:tc>
          <w:tcPr>
            <w:tcW w:w="899" w:type="dxa"/>
            <w:vAlign w:val="center"/>
            <w:textDirection w:val="lrTb"/>
            <w:noWrap w:val="false"/>
          </w:tcPr>
          <w:p>
            <w:pPr>
              <w:pStyle w:val="924"/>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r>
      <w:tr>
        <w:trPr>
          <w:trHeight w:val="4678"/>
        </w:trPr>
        <w:tc>
          <w:tcPr>
            <w:tcW w:w="763"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2.4</w:t>
            </w:r>
            <w:r>
              <w:rPr>
                <w:rFonts w:hint="eastAsia" w:ascii="宋体" w:hAnsi="宋体" w:eastAsia="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人员配备</w:t>
            </w:r>
            <w:r>
              <w:rPr>
                <w:rFonts w:hint="eastAsia" w:ascii="宋体" w:hAnsi="宋体" w:eastAsia="宋体" w:cs="宋体"/>
                <w:color w:val="000000"/>
                <w:sz w:val="21"/>
                <w:szCs w:val="21"/>
                <w:lang w:val="en-US" w:eastAsia="zh-CN" w:bidi="ar-SA"/>
              </w:rPr>
            </w:r>
            <w:r/>
          </w:p>
        </w:tc>
        <w:tc>
          <w:tcPr>
            <w:tcW w:w="7236" w:type="dxa"/>
            <w:vAlign w:val="center"/>
            <w:textDirection w:val="lrTb"/>
            <w:noWrap w:val="false"/>
          </w:tcPr>
          <w:p>
            <w:pPr>
              <w:pStyle w:val="924"/>
              <w:rPr>
                <w:rFonts w:hint="eastAsia" w:ascii="宋体" w:hAnsi="宋体" w:eastAsia="宋体" w:cs="宋体"/>
                <w:color w:val="000000"/>
              </w:rPr>
            </w:pPr>
            <w:r>
              <w:rPr>
                <w:rFonts w:hint="eastAsia" w:ascii="宋体" w:hAnsi="宋体" w:eastAsia="宋体" w:cs="宋体"/>
                <w:color w:val="000000"/>
              </w:rPr>
              <w:t xml:space="preserve">供应商投入本项目拟派项目团队人员如下：</w:t>
            </w:r>
            <w:r>
              <w:rPr>
                <w:rFonts w:hint="eastAsia" w:ascii="宋体" w:hAnsi="宋体" w:eastAsia="宋体" w:cs="宋体"/>
                <w:color w:val="000000"/>
              </w:rPr>
            </w:r>
            <w:r/>
          </w:p>
          <w:p>
            <w:pPr>
              <w:pStyle w:val="924"/>
              <w:rPr>
                <w:rFonts w:hint="eastAsia" w:ascii="宋体" w:hAnsi="宋体" w:eastAsia="宋体" w:cs="宋体"/>
                <w:color w:val="000000"/>
              </w:rPr>
            </w:pPr>
            <w:r>
              <w:rPr>
                <w:rFonts w:hint="eastAsia" w:ascii="宋体" w:hAnsi="宋体" w:eastAsia="宋体" w:cs="宋体"/>
                <w:color w:val="000000"/>
              </w:rPr>
              <w:t xml:space="preserve">（1）项目经理1人，具有计算机技术与软件专业技术资格证书（信息系统项目管理师或系统分析师或系统架构设计师或网络规划设计师）、通信与广电工程或机电工程专业注册建造师证书</w:t>
            </w:r>
            <w:r>
              <w:rPr>
                <w:rFonts w:hint="eastAsia" w:ascii="宋体" w:hAnsi="宋体" w:cs="宋体"/>
                <w:color w:val="000000"/>
                <w:lang w:eastAsia="zh-CN"/>
              </w:rPr>
              <w:t xml:space="preserve">、</w:t>
            </w:r>
            <w:r>
              <w:rPr>
                <w:rFonts w:hint="eastAsia" w:ascii="宋体" w:hAnsi="宋体" w:cs="宋体"/>
                <w:color w:val="000000"/>
                <w:lang w:val="en-US" w:eastAsia="zh-CN"/>
              </w:rPr>
              <w:t xml:space="preserve">高级工程师职称证书</w:t>
            </w:r>
            <w:r>
              <w:rPr>
                <w:rFonts w:hint="eastAsia" w:ascii="宋体" w:hAnsi="宋体" w:eastAsia="宋体" w:cs="宋体"/>
                <w:color w:val="000000"/>
              </w:rPr>
              <w:t xml:space="preserve">。以上每提供1份证书得1分，最</w:t>
            </w:r>
            <w:r>
              <w:rPr>
                <w:rFonts w:hint="eastAsia" w:ascii="宋体" w:hAnsi="宋体" w:eastAsia="宋体" w:cs="宋体"/>
                <w:color w:val="000000"/>
                <w:lang w:val="en-US" w:eastAsia="zh-CN"/>
              </w:rPr>
              <w:t xml:space="preserve">高</w:t>
            </w:r>
            <w:r>
              <w:rPr>
                <w:rFonts w:hint="eastAsia" w:ascii="宋体" w:hAnsi="宋体" w:eastAsia="宋体" w:cs="宋体"/>
                <w:color w:val="000000"/>
              </w:rPr>
              <w:t xml:space="preserve">得</w:t>
            </w:r>
            <w:r>
              <w:rPr>
                <w:rFonts w:hint="eastAsia" w:ascii="宋体" w:hAnsi="宋体" w:cs="宋体"/>
                <w:color w:val="000000"/>
                <w:lang w:val="en-US" w:eastAsia="zh-CN"/>
              </w:rPr>
              <w:t xml:space="preserve">3</w:t>
            </w:r>
            <w:r>
              <w:rPr>
                <w:rFonts w:hint="eastAsia" w:ascii="宋体" w:hAnsi="宋体" w:eastAsia="宋体" w:cs="宋体"/>
                <w:color w:val="000000"/>
              </w:rPr>
              <w:t xml:space="preserve">分。</w:t>
            </w:r>
            <w:r>
              <w:rPr>
                <w:rFonts w:hint="eastAsia" w:ascii="宋体" w:hAnsi="宋体" w:eastAsia="宋体" w:cs="宋体"/>
                <w:color w:val="000000"/>
              </w:rPr>
            </w:r>
            <w:r/>
          </w:p>
          <w:p>
            <w:pPr>
              <w:pStyle w:val="924"/>
              <w:rPr>
                <w:rFonts w:ascii="宋体" w:hAnsi="宋体" w:eastAsia="宋体" w:cs="宋体"/>
                <w:color w:val="000000"/>
                <w:lang w:val="en-US" w:eastAsia="zh-CN"/>
              </w:rPr>
            </w:pPr>
            <w:r>
              <w:rPr>
                <w:rFonts w:hint="eastAsia" w:ascii="宋体" w:hAnsi="宋体" w:eastAsia="宋体" w:cs="宋体"/>
                <w:color w:val="000000"/>
              </w:rPr>
              <w:t xml:space="preserve">（2）项目技术负责人1人，具有计算机技术与软件专业技术资格证书（信息系统项目管理师或系统分析师或系统架构设计师或网络规划设计师）、高级工程师</w:t>
            </w:r>
            <w:r>
              <w:rPr>
                <w:rFonts w:hint="eastAsia" w:ascii="宋体" w:hAnsi="宋体" w:cs="宋体"/>
                <w:color w:val="000000"/>
                <w:lang w:val="en-US" w:eastAsia="zh-CN"/>
              </w:rPr>
              <w:t xml:space="preserve">职称</w:t>
            </w:r>
            <w:r>
              <w:rPr>
                <w:rFonts w:hint="eastAsia" w:ascii="宋体" w:hAnsi="宋体" w:eastAsia="宋体" w:cs="宋体"/>
                <w:color w:val="000000"/>
              </w:rPr>
              <w:t xml:space="preserve">证书。以上每提供1份证书得1分，最</w:t>
            </w:r>
            <w:r>
              <w:rPr>
                <w:rFonts w:hint="eastAsia" w:ascii="宋体" w:hAnsi="宋体" w:eastAsia="宋体" w:cs="宋体"/>
                <w:color w:val="000000"/>
                <w:lang w:val="en-US" w:eastAsia="zh-CN"/>
              </w:rPr>
              <w:t xml:space="preserve">高</w:t>
            </w:r>
            <w:r>
              <w:rPr>
                <w:rFonts w:hint="eastAsia" w:ascii="宋体" w:hAnsi="宋体" w:eastAsia="宋体" w:cs="宋体"/>
                <w:color w:val="000000"/>
              </w:rPr>
              <w:t xml:space="preserve">得2分。</w:t>
            </w:r>
            <w:r>
              <w:rPr>
                <w:rFonts w:ascii="宋体" w:hAnsi="宋体" w:eastAsia="宋体" w:cs="宋体"/>
                <w:color w:val="000000"/>
                <w:lang w:val="en-US" w:eastAsia="zh-CN"/>
              </w:rPr>
            </w:r>
            <w:r/>
          </w:p>
          <w:p>
            <w:pPr>
              <w:pStyle w:val="924"/>
              <w:rPr>
                <w:rFonts w:hint="eastAsia" w:ascii="宋体" w:hAnsi="宋体" w:eastAsia="宋体" w:cs="宋体"/>
                <w:color w:val="000000"/>
              </w:rPr>
            </w:pPr>
            <w:r>
              <w:rPr>
                <w:rFonts w:hint="eastAsia" w:ascii="宋体" w:hAnsi="宋体" w:eastAsia="宋体" w:cs="宋体"/>
                <w:color w:val="000000"/>
              </w:rPr>
              <w:t xml:space="preserve">（3）项目系统架构师：具有计算机技术与软件专业技术资格证书（系统架构设计师）证书得1分。</w:t>
            </w:r>
            <w:r>
              <w:rPr>
                <w:rFonts w:hint="eastAsia" w:ascii="宋体" w:hAnsi="宋体" w:eastAsia="宋体" w:cs="宋体"/>
                <w:color w:val="000000"/>
              </w:rPr>
            </w:r>
            <w:r/>
          </w:p>
          <w:p>
            <w:pPr>
              <w:pStyle w:val="924"/>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cs="宋体"/>
                <w:color w:val="000000"/>
                <w:lang w:val="en-US" w:eastAsia="zh-CN"/>
              </w:rPr>
              <w:t xml:space="preserve">项目系统</w:t>
            </w:r>
            <w:r>
              <w:rPr>
                <w:rFonts w:hint="eastAsia" w:ascii="宋体" w:hAnsi="宋体" w:eastAsia="宋体" w:cs="宋体"/>
                <w:color w:val="000000"/>
              </w:rPr>
              <w:t xml:space="preserve">分析师：具有计算机技术与软件专业技术资格（系统分析师）证书得1分。</w:t>
            </w:r>
            <w:r>
              <w:rPr>
                <w:rFonts w:hint="eastAsia" w:ascii="宋体" w:hAnsi="宋体" w:eastAsia="宋体" w:cs="宋体"/>
                <w:color w:val="000000"/>
              </w:rPr>
            </w:r>
            <w:r/>
          </w:p>
          <w:p>
            <w:pPr>
              <w:pStyle w:val="924"/>
              <w:rPr>
                <w:rFonts w:hint="eastAsia" w:ascii="宋体" w:hAnsi="宋体" w:eastAsia="宋体" w:cs="宋体"/>
                <w:color w:val="000000"/>
              </w:rPr>
            </w:pPr>
            <w:r>
              <w:rPr>
                <w:rFonts w:hint="eastAsia" w:ascii="宋体" w:hAnsi="宋体" w:eastAsia="宋体" w:cs="宋体"/>
                <w:color w:val="000000"/>
              </w:rPr>
              <w:t xml:space="preserve">（5）团队</w:t>
            </w:r>
            <w:r>
              <w:rPr>
                <w:rFonts w:hint="eastAsia" w:ascii="宋体" w:hAnsi="宋体" w:cs="宋体"/>
                <w:color w:val="000000"/>
                <w:lang w:val="en-US" w:eastAsia="zh-CN"/>
              </w:rPr>
              <w:t xml:space="preserve">其他</w:t>
            </w:r>
            <w:r>
              <w:rPr>
                <w:rFonts w:hint="eastAsia" w:ascii="宋体" w:hAnsi="宋体" w:eastAsia="宋体" w:cs="宋体"/>
                <w:color w:val="000000"/>
              </w:rPr>
              <w:t xml:space="preserve">成员：除上述1-4</w:t>
            </w:r>
            <w:r>
              <w:rPr>
                <w:rFonts w:hint="eastAsia" w:ascii="宋体" w:hAnsi="宋体" w:eastAsia="宋体" w:cs="宋体"/>
                <w:color w:val="000000"/>
                <w:lang w:eastAsia="zh-CN"/>
              </w:rPr>
              <w:t xml:space="preserve">项</w:t>
            </w:r>
            <w:r>
              <w:rPr>
                <w:rFonts w:hint="eastAsia" w:ascii="宋体" w:hAnsi="宋体" w:eastAsia="宋体" w:cs="宋体"/>
                <w:color w:val="000000"/>
              </w:rPr>
              <w:t xml:space="preserve">成员外，其他成员具有计算机技术与软件专业技术资格证书（中级以上）、CISP证书，每提供1份证书材料得0.5分（一人多证不重复得分），最</w:t>
            </w:r>
            <w:r>
              <w:rPr>
                <w:rFonts w:hint="eastAsia" w:ascii="宋体" w:hAnsi="宋体" w:eastAsia="宋体" w:cs="宋体"/>
                <w:color w:val="000000"/>
                <w:lang w:val="en-US" w:eastAsia="zh-CN"/>
              </w:rPr>
              <w:t xml:space="preserve">高</w:t>
            </w:r>
            <w:r>
              <w:rPr>
                <w:rFonts w:hint="eastAsia" w:ascii="宋体" w:hAnsi="宋体" w:eastAsia="宋体" w:cs="宋体"/>
                <w:color w:val="000000"/>
                <w:highlight w:val="none"/>
              </w:rPr>
              <w:t xml:space="preserve">得</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rPr>
              <w:t xml:space="preserve">。</w:t>
            </w:r>
            <w:r>
              <w:rPr>
                <w:rFonts w:hint="eastAsia" w:ascii="宋体" w:hAnsi="宋体" w:eastAsia="宋体" w:cs="宋体"/>
                <w:color w:val="000000"/>
              </w:rPr>
            </w:r>
            <w:r/>
          </w:p>
          <w:p>
            <w:pPr>
              <w:pStyle w:val="924"/>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需</w:t>
            </w:r>
            <w:r>
              <w:rPr>
                <w:rFonts w:hint="eastAsia" w:ascii="宋体" w:hAnsi="宋体" w:eastAsia="宋体" w:cs="宋体"/>
                <w:color w:val="000000"/>
              </w:rPr>
              <w:t xml:space="preserve">提供上述人员证书复印件并加盖公章，以及投标人为其缴纳的近6个月内任意一个月的社保证明</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否则</w:t>
            </w:r>
            <w:r>
              <w:rPr>
                <w:rFonts w:hint="eastAsia" w:ascii="宋体" w:hAnsi="宋体" w:eastAsia="宋体" w:cs="宋体"/>
                <w:color w:val="000000"/>
                <w:lang w:val="en-US" w:eastAsia="zh-CN"/>
              </w:rPr>
              <w:t xml:space="preserve">不得分</w:t>
            </w:r>
            <w:r>
              <w:rPr>
                <w:rFonts w:hint="eastAsia" w:ascii="宋体" w:hAnsi="宋体" w:eastAsia="宋体" w:cs="宋体"/>
                <w:color w:val="000000"/>
              </w:rPr>
              <w:t xml:space="preserve">。</w:t>
            </w:r>
            <w:r>
              <w:rPr>
                <w:rFonts w:hint="eastAsia" w:ascii="宋体" w:hAnsi="宋体" w:eastAsia="宋体" w:cs="宋体"/>
                <w:color w:val="000000"/>
                <w:sz w:val="21"/>
                <w:szCs w:val="21"/>
                <w:lang w:val="en-US" w:eastAsia="zh-CN" w:bidi="ar-SA"/>
              </w:rPr>
            </w:r>
            <w:r/>
          </w:p>
        </w:tc>
        <w:tc>
          <w:tcPr>
            <w:tcW w:w="899"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highlight w:val="none"/>
                <w:lang w:val="en-US" w:eastAsia="zh-CN"/>
              </w:rPr>
              <w:t xml:space="preserve">8</w:t>
            </w:r>
            <w:r>
              <w:rPr>
                <w:rFonts w:hint="eastAsia" w:ascii="宋体" w:hAnsi="宋体" w:eastAsia="宋体" w:cs="宋体"/>
                <w:color w:val="000000"/>
                <w:sz w:val="21"/>
                <w:szCs w:val="21"/>
                <w:lang w:val="en-US" w:eastAsia="zh-CN" w:bidi="ar-SA"/>
              </w:rPr>
            </w:r>
            <w:r/>
          </w:p>
        </w:tc>
      </w:tr>
      <w:tr>
        <w:trPr>
          <w:trHeight w:val="353"/>
        </w:trPr>
        <w:tc>
          <w:tcPr>
            <w:tcW w:w="763"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b/>
                <w:bCs/>
                <w:color w:val="000000"/>
                <w:lang w:val="en-US" w:eastAsia="zh-CN"/>
              </w:rPr>
              <w:t xml:space="preserve">3</w:t>
            </w:r>
            <w:r>
              <w:rPr>
                <w:rFonts w:hint="eastAsia" w:ascii="宋体" w:hAnsi="宋体" w:eastAsia="宋体" w:cs="宋体"/>
                <w:color w:val="000000"/>
                <w:lang w:val="en-US" w:eastAsia="zh-CN"/>
              </w:rPr>
            </w:r>
            <w:r/>
          </w:p>
        </w:tc>
        <w:tc>
          <w:tcPr>
            <w:gridSpan w:val="3"/>
            <w:tcW w:w="9199"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lang w:val="en-US" w:eastAsia="zh-CN"/>
              </w:rPr>
              <w:t xml:space="preserve">技术部分（</w:t>
            </w:r>
            <w:r>
              <w:rPr>
                <w:rFonts w:hint="eastAsia" w:ascii="宋体" w:hAnsi="宋体" w:cs="宋体"/>
                <w:b/>
                <w:bCs/>
                <w:color w:val="000000"/>
                <w:lang w:val="en-US" w:eastAsia="zh-CN"/>
              </w:rPr>
              <w:t xml:space="preserve">52</w:t>
            </w:r>
            <w:r>
              <w:rPr>
                <w:rFonts w:hint="eastAsia" w:ascii="宋体" w:hAnsi="宋体" w:eastAsia="宋体" w:cs="宋体"/>
                <w:b/>
                <w:bCs/>
                <w:color w:val="000000"/>
                <w:lang w:val="en-US" w:eastAsia="zh-CN"/>
              </w:rPr>
              <w:t xml:space="preserve">分）</w:t>
            </w:r>
            <w:r>
              <w:rPr>
                <w:rFonts w:hint="eastAsia" w:ascii="宋体" w:hAnsi="宋体" w:eastAsia="宋体" w:cs="宋体"/>
                <w:color w:val="000000"/>
                <w:sz w:val="21"/>
                <w:szCs w:val="21"/>
                <w:lang w:val="en-US" w:eastAsia="zh-CN" w:bidi="ar-SA"/>
              </w:rPr>
            </w:r>
            <w:r/>
          </w:p>
        </w:tc>
      </w:tr>
      <w:tr>
        <w:trPr>
          <w:trHeight w:val="1621"/>
        </w:trPr>
        <w:tc>
          <w:tcPr>
            <w:tcW w:w="763" w:type="dxa"/>
            <w:vAlign w:val="center"/>
            <w:textDirection w:val="lrTb"/>
            <w:noWrap w:val="false"/>
          </w:tcPr>
          <w:p>
            <w:pPr>
              <w:pStyle w:val="924"/>
              <w:jc w:val="center"/>
              <w:widowControl/>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3.1</w:t>
            </w:r>
            <w:r>
              <w:rPr>
                <w:rFonts w:hint="eastAsia" w:ascii="宋体" w:hAnsi="宋体" w:eastAsia="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需求响应</w:t>
            </w:r>
            <w:r>
              <w:rPr>
                <w:rFonts w:hint="eastAsia"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hint="eastAsia" w:ascii="宋体" w:hAnsi="宋体" w:eastAsia="宋体" w:cs="宋体"/>
                <w:b/>
                <w:color w:val="000000"/>
                <w:highlight w:val="none"/>
              </w:rPr>
            </w:pP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投标产品技术参数（除外）全部符合招标要求的，得</w:t>
            </w:r>
            <w:r>
              <w:rPr>
                <w:rFonts w:hint="eastAsia" w:ascii="宋体" w:hAnsi="宋体" w:cs="宋体"/>
                <w:color w:val="000000"/>
                <w:highlight w:val="none"/>
                <w:lang w:val="en-US" w:eastAsia="zh-CN"/>
              </w:rPr>
              <w:t xml:space="preserve">20</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b/>
                <w:color w:val="000000"/>
                <w:highlight w:val="none"/>
              </w:rPr>
              <w:t xml:space="preserve"> </w:t>
            </w:r>
            <w:r>
              <w:rPr>
                <w:rFonts w:hint="eastAsia" w:ascii="宋体" w:hAnsi="宋体" w:eastAsia="宋体" w:cs="宋体"/>
                <w:b/>
                <w:color w:val="000000"/>
                <w:highlight w:val="none"/>
              </w:rPr>
            </w:r>
            <w:r/>
          </w:p>
          <w:p>
            <w:pPr>
              <w:pStyle w:val="924"/>
              <w:widowControl/>
              <w:rPr>
                <w:rFonts w:hint="eastAsia" w:ascii="宋体" w:hAnsi="宋体" w:eastAsia="宋体" w:cs="宋体"/>
                <w:color w:val="000000"/>
                <w:highlight w:val="none"/>
              </w:rPr>
            </w:pPr>
            <w:r>
              <w:rPr>
                <w:rFonts w:hint="eastAsia" w:ascii="宋体" w:hAnsi="宋体" w:cs="宋体"/>
                <w:b w:val="0"/>
                <w:bCs w:val="0"/>
                <w:i w:val="0"/>
                <w:iCs/>
                <w:color w:val="000000"/>
                <w:sz w:val="21"/>
                <w:szCs w:val="21"/>
                <w:highlight w:val="none"/>
                <w:u w:val="single"/>
                <w:lang w:val="en-US" w:eastAsia="zh-CN"/>
              </w:rPr>
              <w:t xml:space="preserve">2.</w:t>
            </w:r>
            <w:r>
              <w:rPr>
                <w:rFonts w:hint="eastAsia" w:ascii="宋体" w:hAnsi="宋体" w:eastAsia="宋体" w:cs="宋体"/>
                <w:b/>
                <w:bCs/>
                <w:i/>
                <w:color w:val="000000"/>
                <w:sz w:val="21"/>
                <w:szCs w:val="21"/>
                <w:highlight w:val="none"/>
                <w:u w:val="single"/>
              </w:rPr>
              <w:t xml:space="preserve">斜体且有下划线部分</w:t>
            </w:r>
            <w:r>
              <w:rPr>
                <w:rFonts w:hint="eastAsia" w:ascii="宋体" w:hAnsi="宋体" w:eastAsia="宋体" w:cs="宋体"/>
                <w:color w:val="000000"/>
                <w:highlight w:val="none"/>
                <w:lang w:val="en-US" w:eastAsia="zh-CN"/>
              </w:rPr>
              <w:t xml:space="preserve">为实质性条款，</w:t>
            </w:r>
            <w:r>
              <w:rPr>
                <w:rFonts w:hint="eastAsia" w:ascii="宋体" w:hAnsi="宋体" w:eastAsia="宋体" w:cs="宋体"/>
                <w:color w:val="000000"/>
                <w:highlight w:val="none"/>
              </w:rPr>
              <w:t xml:space="preserve">若有负偏离，按无效投标处理；</w:t>
            </w:r>
            <w:r>
              <w:rPr>
                <w:rFonts w:hint="eastAsia" w:ascii="宋体" w:hAnsi="宋体" w:eastAsia="宋体" w:cs="宋体"/>
                <w:color w:val="000000"/>
                <w:highlight w:val="none"/>
              </w:rPr>
            </w:r>
            <w:r/>
          </w:p>
          <w:p>
            <w:pPr>
              <w:pStyle w:val="924"/>
              <w:widowControl/>
              <w:rPr>
                <w:rFonts w:hint="eastAsia" w:ascii="宋体" w:hAnsi="宋体" w:eastAsia="宋体" w:cs="宋体"/>
                <w:color w:val="000000"/>
                <w:highlight w:val="none"/>
              </w:rPr>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带▲的为重要技术指标</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有一项负偏离扣</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一般技术指标有一项负偏离扣0.15分，</w:t>
            </w:r>
            <w:r>
              <w:rPr>
                <w:rFonts w:hint="eastAsia" w:ascii="宋体" w:hAnsi="宋体" w:eastAsia="宋体" w:cs="宋体"/>
                <w:color w:val="000000"/>
                <w:highlight w:val="none"/>
              </w:rPr>
              <w:t xml:space="preserve">扣完为止。</w:t>
            </w:r>
            <w:r>
              <w:rPr>
                <w:rFonts w:hint="eastAsia" w:ascii="宋体" w:hAnsi="宋体" w:eastAsia="宋体" w:cs="宋体"/>
                <w:color w:val="000000"/>
                <w:highlight w:val="none"/>
              </w:rPr>
            </w:r>
            <w:r/>
          </w:p>
          <w:p>
            <w:pPr>
              <w:pStyle w:val="924"/>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rPr>
              <w:t xml:space="preserve">注：投标人需在《技术要求响应及偏离表》中逐条响应。</w:t>
            </w:r>
            <w:r>
              <w:rPr>
                <w:rFonts w:hint="eastAsia" w:ascii="宋体" w:hAnsi="宋体" w:eastAsia="宋体" w:cs="宋体"/>
                <w:color w:val="000000"/>
                <w:sz w:val="21"/>
                <w:szCs w:val="21"/>
                <w:highlight w:val="none"/>
                <w:lang w:val="en-US" w:eastAsia="zh-CN" w:bidi="ar-SA"/>
              </w:rPr>
            </w:r>
            <w:r/>
          </w:p>
        </w:tc>
        <w:tc>
          <w:tcPr>
            <w:tcW w:w="899" w:type="dxa"/>
            <w:vAlign w:val="center"/>
            <w:textDirection w:val="lrTb"/>
            <w:noWrap w:val="false"/>
          </w:tcPr>
          <w:p>
            <w:pPr>
              <w:pStyle w:val="924"/>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20</w:t>
            </w:r>
            <w:r>
              <w:rPr>
                <w:rFonts w:ascii="宋体" w:hAnsi="宋体" w:eastAsia="宋体" w:cs="宋体"/>
                <w:color w:val="000000"/>
                <w:sz w:val="21"/>
                <w:szCs w:val="21"/>
                <w:highlight w:val="none"/>
                <w:lang w:val="en-US" w:eastAsia="zh-CN" w:bidi="ar-SA"/>
              </w:rPr>
            </w:r>
            <w:r/>
          </w:p>
        </w:tc>
      </w:tr>
      <w:tr>
        <w:trPr>
          <w:trHeight w:val="1235"/>
        </w:trPr>
        <w:tc>
          <w:tcPr>
            <w:tcW w:w="763" w:type="dxa"/>
            <w:vAlign w:val="center"/>
            <w:textDirection w:val="lrTb"/>
            <w:noWrap w:val="false"/>
          </w:tcPr>
          <w:p>
            <w:pPr>
              <w:pStyle w:val="924"/>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3.2</w:t>
            </w:r>
            <w:r>
              <w:rPr>
                <w:rFonts w:ascii="宋体" w:hAnsi="宋体" w:eastAsia="宋体" w:cs="宋体"/>
                <w:color w:val="000000"/>
                <w:lang w:val="en-US" w:eastAsia="zh-CN"/>
              </w:rPr>
            </w:r>
            <w:r/>
          </w:p>
        </w:tc>
        <w:tc>
          <w:tcPr>
            <w:tcW w:w="1064" w:type="dxa"/>
            <w:vAlign w:val="center"/>
            <w:textDirection w:val="lrTb"/>
            <w:noWrap w:val="false"/>
          </w:tcPr>
          <w:p>
            <w:pPr>
              <w:pStyle w:val="924"/>
              <w:jc w:val="center"/>
              <w:widowControl/>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演示</w:t>
            </w:r>
            <w:r>
              <w:rPr>
                <w:rFonts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hint="eastAsia"/>
                <w:lang w:val="en-US" w:eastAsia="zh-CN"/>
              </w:rPr>
            </w:pPr>
            <w:r>
              <w:rPr>
                <w:rFonts w:hint="eastAsia"/>
                <w:lang w:val="en-US" w:eastAsia="zh-CN"/>
              </w:rPr>
              <w:t xml:space="preserve">标有“☆”的为关键技术参数（共5条,每条2分，合计10分），根据投标人提供的视频演示方案进行评审：视频文件的格式为*.mp4或*.avi，投标人须将视频文件分段压缩为*.zip文件上传（单个文件不得大于50M，所有文件总共不得大于300M）。视频时长总计不超过15分钟。每项功能演示逻辑准确，能够满足招标要求得2分；功能与招标要求偏差较大，演示逻辑明显错误的，不得分；本项最高得10分。使用真实系统或系统原型演示的最高可得满分，使用ppt、动画等其他形式演示的得分乘以0.5。</w:t>
            </w:r>
            <w:r>
              <w:rPr>
                <w:rFonts w:hint="eastAsia"/>
                <w:lang w:val="en-US" w:eastAsia="zh-CN"/>
              </w:rPr>
            </w:r>
            <w:r/>
          </w:p>
          <w:p>
            <w:pPr>
              <w:pStyle w:val="978"/>
              <w:ind w:left="0" w:firstLine="0"/>
              <w:rPr>
                <w:rFonts w:hint="eastAsia"/>
              </w:rPr>
            </w:pPr>
            <w:r>
              <w:rPr>
                <w:rFonts w:hint="eastAsia"/>
              </w:rPr>
              <w:t xml:space="preserve">（1）具备火点空间定位功能，对于系统上报的火情信息，可实现火情在三维空间的自动居中放大功能。</w:t>
            </w:r>
            <w:r>
              <w:rPr>
                <w:rFonts w:hint="eastAsia"/>
              </w:rPr>
            </w:r>
            <w:r/>
          </w:p>
          <w:p>
            <w:pPr>
              <w:pStyle w:val="978"/>
              <w:ind w:left="0" w:firstLine="0"/>
              <w:rPr>
                <w:rFonts w:hint="eastAsia"/>
              </w:rPr>
            </w:pPr>
            <w:r>
              <w:rPr>
                <w:rFonts w:hint="eastAsia"/>
              </w:rPr>
              <w:t xml:space="preserve">（2）具备火情视频联动观察功能，对于火点周边可视的高点智能监控，系统可以实现一键自动汇聚观察功能。选定合适的搜索半径，系统自动给出理论上能够看到该火情的所有高点监控。</w:t>
            </w:r>
            <w:r>
              <w:rPr>
                <w:rFonts w:hint="eastAsia"/>
              </w:rPr>
            </w:r>
            <w:r/>
          </w:p>
          <w:p>
            <w:pPr>
              <w:pStyle w:val="978"/>
              <w:ind w:left="0" w:firstLine="0"/>
              <w:rPr>
                <w:rFonts w:hint="eastAsia"/>
              </w:rPr>
            </w:pPr>
            <w:r>
              <w:rPr>
                <w:rFonts w:hint="eastAsia"/>
              </w:rPr>
              <w:t xml:space="preserve">（3）具备无人机火情协同核查功能，对需要交叉验证的火情，可指定周边飞行半径覆盖的无人机自动前往火点进行递近侦查活动。选取符合要求的无人机后，设置安全飞行高度后，无人机自动执行前往火点的飞行任务，在平台中可实时接收无人机回传的视频影像。</w:t>
            </w:r>
            <w:r>
              <w:rPr>
                <w:rFonts w:hint="eastAsia"/>
              </w:rPr>
            </w:r>
            <w:r/>
          </w:p>
          <w:p>
            <w:pPr>
              <w:pStyle w:val="978"/>
              <w:ind w:left="0" w:firstLine="0"/>
              <w:rPr>
                <w:rFonts w:hint="eastAsia"/>
              </w:rPr>
            </w:pPr>
            <w:r>
              <w:rPr>
                <w:rFonts w:hint="eastAsia"/>
              </w:rPr>
              <w:t xml:space="preserve">（4）具备周边资源查询功能，通过周边资源查询按钮，可实现火点周边不同空间尺度的扑救资源。</w:t>
            </w:r>
            <w:r>
              <w:rPr>
                <w:rFonts w:hint="eastAsia"/>
              </w:rPr>
            </w:r>
            <w:r/>
          </w:p>
          <w:p>
            <w:pPr>
              <w:pStyle w:val="978"/>
              <w:ind w:left="0" w:firstLine="0"/>
              <w:rPr>
                <w:rFonts w:hint="eastAsia"/>
              </w:rPr>
            </w:pPr>
            <w:r>
              <w:rPr>
                <w:rFonts w:hint="eastAsia"/>
              </w:rPr>
              <w:t xml:space="preserve">（5）具备路径规划功能，随机选取三维地形上任意一点作为起始点，即可根据公共路网数据和林下防火道路数据（如有），自动生成前往火点的路径。</w:t>
            </w:r>
            <w:r>
              <w:rPr>
                <w:rFonts w:hint="eastAsia"/>
              </w:rPr>
            </w:r>
            <w:r/>
          </w:p>
        </w:tc>
        <w:tc>
          <w:tcPr>
            <w:tcW w:w="899" w:type="dxa"/>
            <w:vAlign w:val="center"/>
            <w:textDirection w:val="lrTb"/>
            <w:noWrap w:val="false"/>
          </w:tcPr>
          <w:p>
            <w:pPr>
              <w:pStyle w:val="924"/>
              <w:jc w:val="center"/>
              <w:widowControl/>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10</w:t>
            </w:r>
            <w:r>
              <w:rPr>
                <w:rFonts w:ascii="宋体" w:hAnsi="宋体" w:cs="宋体"/>
                <w:color w:val="000000"/>
                <w:highlight w:val="none"/>
                <w:lang w:val="en-US" w:eastAsia="zh-CN"/>
              </w:rPr>
            </w:r>
            <w:r/>
          </w:p>
        </w:tc>
      </w:tr>
      <w:tr>
        <w:trPr>
          <w:trHeight w:val="284"/>
        </w:trPr>
        <w:tc>
          <w:tcPr>
            <w:tcW w:w="763"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3.3</w:t>
            </w:r>
            <w:r>
              <w:rPr>
                <w:rFonts w:ascii="宋体" w:hAnsi="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highlight w:val="none"/>
                <w:lang w:val="en-US" w:eastAsia="zh-CN"/>
              </w:rPr>
              <w:t xml:space="preserve">现状</w:t>
            </w:r>
            <w:r>
              <w:rPr>
                <w:rFonts w:hint="eastAsia" w:ascii="宋体" w:hAnsi="宋体" w:eastAsia="宋体" w:cs="宋体"/>
                <w:color w:val="000000"/>
                <w:highlight w:val="none"/>
                <w:lang w:val="en-US" w:eastAsia="zh-CN"/>
              </w:rPr>
              <w:t xml:space="preserve">分析和理解</w:t>
            </w:r>
            <w:r>
              <w:rPr>
                <w:rFonts w:hint="eastAsia" w:ascii="宋体" w:hAnsi="宋体" w:cs="宋体"/>
                <w:color w:val="000000"/>
                <w:highlight w:val="none"/>
                <w:lang w:val="en-US" w:eastAsia="zh-CN"/>
              </w:rPr>
              <w:t xml:space="preserve">方案</w:t>
            </w:r>
            <w:r>
              <w:rPr>
                <w:rFonts w:hint="eastAsia" w:ascii="宋体" w:hAnsi="宋体" w:eastAsia="宋体" w:cs="宋体"/>
                <w:color w:val="000000"/>
                <w:sz w:val="21"/>
                <w:szCs w:val="21"/>
                <w:highlight w:val="none"/>
                <w:lang w:val="en-US" w:eastAsia="zh-CN" w:bidi="ar-SA"/>
              </w:rPr>
            </w:r>
            <w:r/>
          </w:p>
        </w:tc>
        <w:tc>
          <w:tcPr>
            <w:tcW w:w="7236" w:type="dxa"/>
            <w:vAlign w:val="center"/>
            <w:textDirection w:val="lrTb"/>
            <w:noWrap w:val="false"/>
          </w:tcPr>
          <w:p>
            <w:pPr>
              <w:pStyle w:val="978"/>
              <w:ind w:left="0"/>
              <w:widowControl/>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评委根据招标文件“第四章  项目需求”中“四、技术部分要求”的“（三）现状分析和理解方案”要求的响应情况进行评审</w:t>
            </w:r>
            <w:r>
              <w:rPr>
                <w:rFonts w:hint="eastAsia" w:ascii="宋体" w:hAnsi="宋体" w:cs="宋体"/>
                <w:color w:val="000000"/>
                <w:highlight w:val="none"/>
                <w:lang w:val="en-US" w:eastAsia="zh-CN"/>
              </w:rPr>
            </w:r>
            <w:r/>
          </w:p>
          <w:p>
            <w:pPr>
              <w:pStyle w:val="978"/>
              <w:ind w:left="0"/>
              <w:rPr>
                <w:lang w:val="en-US" w:eastAsia="zh-CN"/>
              </w:rPr>
            </w:pPr>
            <w:r>
              <w:rPr>
                <w:rFonts w:hint="eastAsia"/>
                <w:lang w:val="en-US" w:eastAsia="zh-CN"/>
              </w:rPr>
              <w:t xml:space="preserve">（1）</w:t>
            </w:r>
            <w:r>
              <w:rPr>
                <w:lang w:val="en-US" w:eastAsia="zh-CN"/>
              </w:rPr>
              <w:t xml:space="preserve">投标文件未符合</w:t>
            </w:r>
            <w:r>
              <w:rPr>
                <w:rFonts w:hint="eastAsia"/>
                <w:lang w:val="en-US" w:eastAsia="zh-CN"/>
              </w:rPr>
              <w:t xml:space="preserve">“现状分析和理解方案”</w:t>
            </w:r>
            <w:r>
              <w:rPr>
                <w:lang w:val="en-US" w:eastAsia="zh-CN"/>
              </w:rPr>
              <w:t xml:space="preserve">中全部条款要求的，视为不符合招标文件，本项得0分。</w:t>
            </w:r>
            <w:r>
              <w:rPr>
                <w:lang w:val="en-US" w:eastAsia="zh-CN"/>
              </w:rPr>
            </w:r>
            <w:r/>
          </w:p>
          <w:p>
            <w:pPr>
              <w:pStyle w:val="978"/>
              <w:ind w:left="0"/>
              <w:rPr>
                <w:rFonts w:hint="eastAsia"/>
                <w:lang w:val="en-US" w:eastAsia="zh-CN"/>
              </w:rPr>
            </w:pPr>
            <w:r>
              <w:rPr>
                <w:rFonts w:hint="eastAsia"/>
                <w:lang w:val="en-US" w:eastAsia="zh-CN"/>
              </w:rPr>
              <w:t xml:space="preserve">（2）投标文件符合“现状分析和理解方案”中全部条款要求的，视为符合招标文件，本项得2分。</w:t>
            </w:r>
            <w:r>
              <w:rPr>
                <w:rFonts w:hint="eastAsia"/>
                <w:lang w:val="en-US" w:eastAsia="zh-CN"/>
              </w:rPr>
            </w:r>
            <w:r/>
          </w:p>
          <w:p>
            <w:pPr>
              <w:pStyle w:val="978"/>
              <w:ind w:left="0"/>
              <w:rPr>
                <w:rFonts w:hint="eastAsia" w:ascii="宋体" w:hAnsi="宋体" w:eastAsia="宋体" w:cs="宋体"/>
                <w:color w:val="000000"/>
                <w:sz w:val="21"/>
                <w:szCs w:val="21"/>
                <w:highlight w:val="none"/>
                <w:lang w:val="en-US" w:eastAsia="zh-CN" w:bidi="ar-SA"/>
              </w:rPr>
            </w:pPr>
            <w:r>
              <w:rPr>
                <w:rFonts w:hint="eastAsia"/>
                <w:lang w:val="en-US" w:eastAsia="zh-CN"/>
              </w:rPr>
              <w:t xml:space="preserve">（3）经评委认定，投标文件对“现状分析和理解方案”中“背景分析”“现状分析”“项目重难点”三项要求的响应内容全部优于招标文件要求的（前提是投标文件对除“背景分析”“现状分析”“项目重难点”外其他要求响应内容符合招标文件要求），本项得4分。</w:t>
            </w:r>
            <w:r>
              <w:rPr>
                <w:rFonts w:hint="eastAsia" w:ascii="宋体" w:hAnsi="宋体" w:eastAsia="宋体" w:cs="宋体"/>
                <w:color w:val="000000"/>
                <w:sz w:val="21"/>
                <w:szCs w:val="21"/>
                <w:highlight w:val="none"/>
                <w:lang w:val="en-US" w:eastAsia="zh-CN" w:bidi="ar-SA"/>
              </w:rPr>
            </w:r>
            <w:r/>
          </w:p>
        </w:tc>
        <w:tc>
          <w:tcPr>
            <w:tcW w:w="899"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4</w:t>
            </w:r>
            <w:r>
              <w:rPr>
                <w:rFonts w:ascii="宋体" w:hAnsi="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3.4</w:t>
            </w:r>
            <w:r>
              <w:rPr>
                <w:rFonts w:ascii="宋体" w:hAnsi="宋体" w:eastAsia="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eastAsia="宋体" w:cs="宋体"/>
                <w:color w:val="000000"/>
                <w:sz w:val="21"/>
                <w:szCs w:val="21"/>
                <w:lang w:val="en-US" w:eastAsia="zh-CN" w:bidi="ar-SA"/>
              </w:rPr>
            </w:pPr>
            <w:r>
              <w:rPr>
                <w:rFonts w:hint="eastAsia" w:ascii="宋体" w:hAnsi="宋体" w:cs="宋体"/>
                <w:color w:val="000000"/>
                <w:lang w:val="en-US" w:eastAsia="zh-CN"/>
              </w:rPr>
              <w:t xml:space="preserve">无缝级联方案</w:t>
            </w:r>
            <w:r>
              <w:rPr>
                <w:rFonts w:hint="eastAsia" w:ascii="宋体" w:hAnsi="宋体" w:eastAsia="宋体" w:cs="宋体"/>
                <w:color w:val="000000"/>
                <w:sz w:val="21"/>
                <w:szCs w:val="21"/>
                <w:lang w:val="en-US" w:eastAsia="zh-CN" w:bidi="ar-SA"/>
              </w:rPr>
            </w:r>
            <w:r/>
          </w:p>
        </w:tc>
        <w:tc>
          <w:tcPr>
            <w:tcW w:w="7236" w:type="dxa"/>
            <w:vAlign w:val="center"/>
            <w:textDirection w:val="lrTb"/>
            <w:noWrap w:val="false"/>
          </w:tcPr>
          <w:p>
            <w:pPr>
              <w:pStyle w:val="924"/>
              <w:widowControl/>
              <w:rPr>
                <w:rFonts w:hint="eastAsia" w:ascii="宋体" w:hAnsi="宋体"/>
                <w:sz w:val="21"/>
                <w:szCs w:val="21"/>
                <w:highlight w:val="none"/>
              </w:rPr>
            </w:pPr>
            <w:r>
              <w:rPr>
                <w:rFonts w:hint="eastAsia" w:ascii="宋体" w:hAnsi="宋体"/>
                <w:sz w:val="21"/>
                <w:szCs w:val="21"/>
                <w:highlight w:val="none"/>
              </w:rPr>
              <w:t xml:space="preserve">评委根据招标文件“第四章  项目需求”中“四、技术部分要求”的“（</w:t>
            </w:r>
            <w:r>
              <w:rPr>
                <w:rFonts w:hint="eastAsia" w:ascii="宋体" w:hAnsi="宋体"/>
                <w:sz w:val="21"/>
                <w:szCs w:val="21"/>
                <w:highlight w:val="none"/>
                <w:lang w:val="en-US" w:eastAsia="zh-CN"/>
              </w:rPr>
              <w:t xml:space="preserve">五</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无缝级联方案</w:t>
            </w:r>
            <w:r>
              <w:rPr>
                <w:rFonts w:hint="eastAsia" w:ascii="宋体" w:hAnsi="宋体"/>
                <w:sz w:val="21"/>
                <w:szCs w:val="21"/>
                <w:highlight w:val="none"/>
              </w:rPr>
              <w:t xml:space="preserve">”要求的响应情况进行评审</w:t>
            </w:r>
            <w:r>
              <w:rPr>
                <w:rFonts w:hint="eastAsia" w:ascii="宋体" w:hAnsi="宋体"/>
                <w:sz w:val="21"/>
                <w:szCs w:val="21"/>
                <w:highlight w:val="none"/>
              </w:rPr>
            </w:r>
            <w:r/>
          </w:p>
          <w:p>
            <w:pPr>
              <w:pStyle w:val="924"/>
              <w:widowControl/>
              <w:rPr>
                <w:rFonts w:hint="eastAsia" w:ascii="宋体" w:hAnsi="宋体"/>
                <w:sz w:val="21"/>
                <w:szCs w:val="21"/>
                <w:highlight w:val="none"/>
              </w:rPr>
            </w:pPr>
            <w:r>
              <w:rPr>
                <w:rFonts w:hint="eastAsia" w:ascii="宋体" w:hAnsi="宋体"/>
                <w:sz w:val="21"/>
                <w:szCs w:val="21"/>
                <w:highlight w:val="none"/>
              </w:rPr>
              <w:t xml:space="preserve">（1）投标文件未符合“无缝级联方案”中全部条款要求的，视为不符合招标文件，本项得0分。</w:t>
            </w:r>
            <w:r>
              <w:rPr>
                <w:rFonts w:hint="eastAsia" w:ascii="宋体" w:hAnsi="宋体"/>
                <w:sz w:val="21"/>
                <w:szCs w:val="21"/>
                <w:highlight w:val="none"/>
              </w:rPr>
            </w:r>
            <w:r/>
          </w:p>
          <w:p>
            <w:pPr>
              <w:pStyle w:val="924"/>
              <w:widowControl/>
              <w:rPr>
                <w:rFonts w:hint="eastAsia" w:ascii="宋体" w:hAnsi="宋体"/>
                <w:sz w:val="21"/>
                <w:szCs w:val="21"/>
                <w:highlight w:val="none"/>
              </w:rPr>
            </w:pPr>
            <w:r>
              <w:rPr>
                <w:rFonts w:hint="eastAsia" w:ascii="宋体" w:hAnsi="宋体"/>
                <w:sz w:val="21"/>
                <w:szCs w:val="21"/>
                <w:highlight w:val="none"/>
              </w:rPr>
              <w:t xml:space="preserve">（2）投标文件符合“无缝级联方案”中全部条款要求的，视为符合招标文件，本项得2分。</w:t>
            </w:r>
            <w:r>
              <w:rPr>
                <w:rFonts w:hint="eastAsia" w:ascii="宋体" w:hAnsi="宋体"/>
                <w:sz w:val="21"/>
                <w:szCs w:val="21"/>
                <w:highlight w:val="none"/>
              </w:rPr>
            </w:r>
            <w:r/>
          </w:p>
          <w:p>
            <w:pPr>
              <w:pStyle w:val="924"/>
              <w:widowControl/>
              <w:rPr>
                <w:rFonts w:ascii="宋体" w:hAnsi="宋体" w:eastAsia="宋体"/>
                <w:sz w:val="21"/>
                <w:szCs w:val="21"/>
                <w:highlight w:val="none"/>
                <w:lang w:val="en-US" w:eastAsia="zh-CN"/>
              </w:rPr>
            </w:pPr>
            <w:r>
              <w:rPr>
                <w:rFonts w:hint="eastAsia" w:ascii="宋体" w:hAnsi="宋体"/>
                <w:sz w:val="21"/>
                <w:szCs w:val="21"/>
                <w:highlight w:val="none"/>
              </w:rPr>
              <w:t xml:space="preserve">（3）经评委认定，投标文件对“无缝级联方案”中“省市县互联互通能力建设”“勘察分析报告”“技术架构”三项要求的响应内容全部优于招标文件要求的（前提是投标文件对除“省市县互联互通能力建设”“勘察分析报告”“技术架构”外其他要求响应内容符合招标文件要求），本项得4分。</w:t>
            </w:r>
            <w:r>
              <w:rPr>
                <w:rFonts w:ascii="宋体" w:hAnsi="宋体" w:eastAsia="宋体"/>
                <w:sz w:val="21"/>
                <w:szCs w:val="21"/>
                <w:highlight w:val="none"/>
                <w:lang w:val="en-US" w:eastAsia="zh-CN"/>
              </w:rPr>
            </w:r>
            <w:r/>
          </w:p>
        </w:tc>
        <w:tc>
          <w:tcPr>
            <w:tcW w:w="899" w:type="dxa"/>
            <w:vAlign w:val="center"/>
            <w:textDirection w:val="lrTb"/>
            <w:noWrap w:val="false"/>
          </w:tcPr>
          <w:p>
            <w:pPr>
              <w:pStyle w:val="924"/>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4</w:t>
            </w:r>
            <w:r>
              <w:rPr>
                <w:rFonts w:ascii="宋体" w:hAnsi="宋体" w:eastAsia="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3.5</w:t>
            </w:r>
            <w:r>
              <w:rPr>
                <w:rFonts w:ascii="宋体" w:hAnsi="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cs="宋体"/>
                <w:color w:val="000000"/>
                <w:lang w:val="en-US" w:eastAsia="zh-CN"/>
              </w:rPr>
            </w:pPr>
            <w:r>
              <w:rPr>
                <w:rFonts w:hint="eastAsia" w:ascii="宋体" w:hAnsi="宋体" w:cs="宋体"/>
                <w:color w:val="000000"/>
                <w:lang w:val="en-US" w:eastAsia="zh-CN"/>
              </w:rPr>
              <w:t xml:space="preserve">智慧湿地平台对接方案</w:t>
            </w:r>
            <w:r>
              <w:rPr>
                <w:rFonts w:hint="eastAsia" w:ascii="宋体" w:hAnsi="宋体" w:cs="宋体"/>
                <w:color w:val="000000"/>
                <w:lang w:val="en-US" w:eastAsia="zh-CN"/>
              </w:rPr>
            </w:r>
            <w:r/>
          </w:p>
        </w:tc>
        <w:tc>
          <w:tcPr>
            <w:tcW w:w="7236" w:type="dxa"/>
            <w:vAlign w:val="center"/>
            <w:textDirection w:val="lrTb"/>
            <w:noWrap w:val="false"/>
          </w:tcPr>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评委根据招标文件“第四章  项目需求”中“四、技术部分要求”的“（六）智慧湿地平台对接”要求的响应情况进行评审</w:t>
            </w:r>
            <w:r>
              <w:rPr>
                <w:rFonts w:hint="eastAsia" w:ascii="宋体" w:hAnsi="宋体"/>
                <w:sz w:val="21"/>
                <w:szCs w:val="21"/>
                <w:highlight w:val="none"/>
                <w:lang w:val="en-US" w:eastAsia="zh-CN"/>
              </w:rPr>
            </w:r>
            <w:r/>
          </w:p>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（1）投标文件未符合“智慧湿地平台对接”中全部条款要求的，视为不符合招标文件，本项得0分。</w:t>
            </w:r>
            <w:r>
              <w:rPr>
                <w:rFonts w:hint="eastAsia" w:ascii="宋体" w:hAnsi="宋体"/>
                <w:sz w:val="21"/>
                <w:szCs w:val="21"/>
                <w:highlight w:val="none"/>
                <w:lang w:val="en-US" w:eastAsia="zh-CN"/>
              </w:rPr>
            </w:r>
            <w:r/>
          </w:p>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（2）投标文件符合“智慧湿地平台对接”中全部条款要求的，视为符合招标文件，本项得2分。</w:t>
            </w:r>
            <w:r>
              <w:rPr>
                <w:rFonts w:hint="eastAsia" w:ascii="宋体" w:hAnsi="宋体"/>
                <w:sz w:val="21"/>
                <w:szCs w:val="21"/>
                <w:highlight w:val="none"/>
                <w:lang w:val="en-US" w:eastAsia="zh-CN"/>
              </w:rPr>
            </w:r>
            <w:r/>
          </w:p>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经评委认定，投标文件对“智慧湿地平台对接”中“对接方式”“网络架构”二项要求的响应内容全部优于招标文件要求的（前提是投标文件对除“对接方式”“网络架构”外其他要求响应内容符合招标文件要求），本项得4分。</w:t>
            </w:r>
            <w:r>
              <w:rPr>
                <w:rFonts w:hint="eastAsia" w:ascii="宋体" w:hAnsi="宋体"/>
                <w:sz w:val="21"/>
                <w:szCs w:val="21"/>
                <w:highlight w:val="none"/>
                <w:lang w:val="en-US" w:eastAsia="zh-CN"/>
              </w:rPr>
            </w:r>
            <w:r/>
          </w:p>
        </w:tc>
        <w:tc>
          <w:tcPr>
            <w:tcW w:w="899"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4</w:t>
            </w:r>
            <w:r>
              <w:rPr>
                <w:rFonts w:ascii="宋体" w:hAnsi="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3.6</w:t>
            </w:r>
            <w:r>
              <w:rPr>
                <w:rFonts w:ascii="宋体" w:hAnsi="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cs="宋体"/>
                <w:color w:val="000000"/>
                <w:lang w:val="en-US" w:eastAsia="zh-CN"/>
              </w:rPr>
            </w:pPr>
            <w:r>
              <w:rPr>
                <w:rFonts w:hint="eastAsia" w:ascii="宋体" w:hAnsi="宋体" w:cs="宋体"/>
                <w:color w:val="000000"/>
                <w:lang w:val="en-US" w:eastAsia="zh-CN"/>
              </w:rPr>
              <w:t xml:space="preserve">林火识别和火情自主分类能力建设方案</w:t>
            </w:r>
            <w:r>
              <w:rPr>
                <w:rFonts w:hint="eastAsia" w:ascii="宋体" w:hAnsi="宋体" w:cs="宋体"/>
                <w:color w:val="000000"/>
                <w:lang w:val="en-US" w:eastAsia="zh-CN"/>
              </w:rPr>
            </w:r>
            <w:r/>
          </w:p>
        </w:tc>
        <w:tc>
          <w:tcPr>
            <w:tcW w:w="7236" w:type="dxa"/>
            <w:vAlign w:val="center"/>
            <w:textDirection w:val="lrTb"/>
            <w:noWrap w:val="false"/>
          </w:tcPr>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评委根据招标文件“第四章  项目需求”中“四、技术部分要求”的“（七）林火识别和火情自主分类能力建设”要求的响应情况进行评审</w:t>
            </w:r>
            <w:r>
              <w:rPr>
                <w:rFonts w:hint="eastAsia" w:ascii="宋体" w:hAnsi="宋体"/>
                <w:sz w:val="21"/>
                <w:szCs w:val="21"/>
                <w:highlight w:val="none"/>
                <w:lang w:val="en-US" w:eastAsia="zh-CN"/>
              </w:rPr>
            </w:r>
            <w:r/>
          </w:p>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（1）投标文件未符合“林火识别和火情自主分类能力建设”中全部条款要求的，视为不符合招标文件，本项得0分。</w:t>
            </w:r>
            <w:r>
              <w:rPr>
                <w:rFonts w:hint="eastAsia" w:ascii="宋体" w:hAnsi="宋体"/>
                <w:sz w:val="21"/>
                <w:szCs w:val="21"/>
                <w:highlight w:val="none"/>
                <w:lang w:val="en-US" w:eastAsia="zh-CN"/>
              </w:rPr>
            </w:r>
            <w:r/>
          </w:p>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（2）投标文件符合“林火识别和火情自主分类能力建设”中全部条款要求的，视为符合招标文件，本项得2分。</w:t>
            </w:r>
            <w:r>
              <w:rPr>
                <w:rFonts w:hint="eastAsia" w:ascii="宋体" w:hAnsi="宋体"/>
                <w:sz w:val="21"/>
                <w:szCs w:val="21"/>
                <w:highlight w:val="none"/>
                <w:lang w:val="en-US" w:eastAsia="zh-CN"/>
              </w:rPr>
            </w:r>
            <w:r/>
          </w:p>
          <w:p>
            <w:pPr>
              <w:pStyle w:val="924"/>
              <w:widowControl/>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3）经评委认定，投标文件对“林火识别和火情自主分类能力建设”中“检测架构”、“报警源头自动分类”要求的响应内容优于招标文件要求的（前提是投标文件对除“检测架构”、“报警源头自动分类”外其他要求响应内容符合招标文件要求），本项得4分。</w:t>
            </w:r>
            <w:r>
              <w:rPr>
                <w:rFonts w:hint="eastAsia" w:ascii="宋体" w:hAnsi="宋体"/>
                <w:sz w:val="21"/>
                <w:szCs w:val="21"/>
                <w:highlight w:val="none"/>
                <w:lang w:val="en-US" w:eastAsia="zh-CN"/>
              </w:rPr>
            </w:r>
            <w:r/>
          </w:p>
        </w:tc>
        <w:tc>
          <w:tcPr>
            <w:tcW w:w="899"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4</w:t>
            </w:r>
            <w:r>
              <w:rPr>
                <w:rFonts w:ascii="宋体" w:hAnsi="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3.7</w:t>
            </w:r>
            <w:r>
              <w:rPr>
                <w:rFonts w:ascii="宋体" w:hAnsi="宋体" w:cs="宋体"/>
                <w:color w:val="000000"/>
                <w:lang w:val="en-US" w:eastAsia="zh-CN"/>
              </w:rPr>
            </w:r>
            <w:r/>
          </w:p>
        </w:tc>
        <w:tc>
          <w:tcPr>
            <w:tcW w:w="1064"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系统架构设计方案</w:t>
            </w:r>
            <w:r>
              <w:rPr>
                <w:rFonts w:ascii="宋体" w:hAnsi="宋体" w:cs="宋体"/>
                <w:color w:val="000000"/>
                <w:lang w:val="en-US" w:eastAsia="zh-CN"/>
              </w:rPr>
            </w:r>
            <w:r/>
          </w:p>
        </w:tc>
        <w:tc>
          <w:tcPr>
            <w:tcW w:w="7236" w:type="dxa"/>
            <w:vAlign w:val="center"/>
            <w:textDirection w:val="lrTb"/>
            <w:noWrap w:val="false"/>
          </w:tcPr>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评委根据招标文件“第四章  项目需求”中“四、技术部分要求”的“（八）系统架构设计方案”要求的响应情况进行评审</w:t>
            </w:r>
            <w:r>
              <w:rPr>
                <w:rFonts w:hint="eastAsia" w:ascii="宋体" w:hAnsi="宋体" w:cs="宋体"/>
                <w:color w:val="000000"/>
                <w:sz w:val="21"/>
                <w:szCs w:val="21"/>
                <w:highlight w:val="none"/>
                <w:lang w:val="en-US" w:eastAsia="zh-CN"/>
              </w:rPr>
            </w:r>
            <w:r/>
          </w:p>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（1）投标文件未符合“系统架构设计方案”中全部条款要求的，视为不符合招标文件，本项得0分。</w:t>
            </w:r>
            <w:r>
              <w:rPr>
                <w:rFonts w:hint="eastAsia" w:ascii="宋体" w:hAnsi="宋体" w:cs="宋体"/>
                <w:color w:val="000000"/>
                <w:sz w:val="21"/>
                <w:szCs w:val="21"/>
                <w:highlight w:val="none"/>
                <w:lang w:val="en-US" w:eastAsia="zh-CN"/>
              </w:rPr>
            </w:r>
            <w:r/>
          </w:p>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（2）投标文件符合“系统架构设计方案”中全部条款要求的，视为符合招标文件，本项得2分。</w:t>
            </w:r>
            <w:r>
              <w:rPr>
                <w:rFonts w:hint="eastAsia" w:ascii="宋体" w:hAnsi="宋体" w:cs="宋体"/>
                <w:color w:val="000000"/>
                <w:sz w:val="21"/>
                <w:szCs w:val="21"/>
                <w:highlight w:val="none"/>
                <w:lang w:val="en-US" w:eastAsia="zh-CN"/>
              </w:rPr>
            </w:r>
            <w:r/>
          </w:p>
          <w:p>
            <w:pPr>
              <w:pStyle w:val="924"/>
              <w:jc w:val="left"/>
              <w:widowControl/>
              <w:rPr>
                <w:highlight w:val="none"/>
                <w:lang w:val="en-US" w:eastAsia="zh-CN"/>
              </w:rPr>
            </w:pPr>
            <w:r>
              <w:rPr>
                <w:rFonts w:hint="eastAsia" w:ascii="宋体" w:hAnsi="宋体" w:cs="宋体"/>
                <w:color w:val="000000"/>
                <w:sz w:val="21"/>
                <w:szCs w:val="21"/>
                <w:highlight w:val="none"/>
                <w:lang w:val="en-US" w:eastAsia="zh-CN"/>
              </w:rPr>
              <w:t xml:space="preserve">（3）经评委认定，投标文件对“系统架构设计方案”中“整体架构设计”“网络规划设计”要求的响应内容全部优于招标文件要求的（前提是投标文件对除“整体架构设计”“网络规划设计”外其他要求响应内容符合招标文件要求），本项得3分。</w:t>
            </w:r>
            <w:r>
              <w:rPr>
                <w:highlight w:val="none"/>
                <w:lang w:val="en-US" w:eastAsia="zh-CN"/>
              </w:rPr>
            </w:r>
            <w:r/>
          </w:p>
        </w:tc>
        <w:tc>
          <w:tcPr>
            <w:tcW w:w="899"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3</w:t>
            </w:r>
            <w:r>
              <w:rPr>
                <w:rFonts w:ascii="宋体" w:hAnsi="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3.8</w:t>
            </w:r>
            <w:r>
              <w:rPr>
                <w:rFonts w:ascii="宋体" w:hAnsi="宋体" w:cs="宋体"/>
                <w:color w:val="000000"/>
                <w:lang w:val="en-US" w:eastAsia="zh-CN"/>
              </w:rPr>
            </w:r>
            <w:r/>
          </w:p>
        </w:tc>
        <w:tc>
          <w:tcPr>
            <w:tcW w:w="1064" w:type="dxa"/>
            <w:vAlign w:val="center"/>
            <w:textDirection w:val="lrTb"/>
            <w:noWrap w:val="false"/>
          </w:tcPr>
          <w:p>
            <w:pPr>
              <w:pStyle w:val="924"/>
              <w:jc w:val="center"/>
              <w:widowControl/>
              <w:rPr>
                <w:rFonts w:hint="eastAsia" w:ascii="宋体" w:hAnsi="宋体" w:cs="宋体"/>
                <w:color w:val="000000"/>
                <w:lang w:val="en-US" w:eastAsia="zh-CN"/>
              </w:rPr>
            </w:pPr>
            <w:r>
              <w:rPr>
                <w:rFonts w:hint="eastAsia" w:ascii="宋体" w:hAnsi="宋体" w:cs="宋体"/>
                <w:color w:val="000000"/>
                <w:lang w:val="en-US" w:eastAsia="zh-CN"/>
              </w:rPr>
              <w:t xml:space="preserve">点位规划设计方案</w:t>
            </w:r>
            <w:r>
              <w:rPr>
                <w:rFonts w:hint="eastAsia" w:ascii="宋体" w:hAnsi="宋体" w:cs="宋体"/>
                <w:color w:val="000000"/>
                <w:lang w:val="en-US" w:eastAsia="zh-CN"/>
              </w:rPr>
            </w:r>
            <w:r/>
          </w:p>
        </w:tc>
        <w:tc>
          <w:tcPr>
            <w:tcW w:w="7236" w:type="dxa"/>
            <w:vAlign w:val="center"/>
            <w:textDirection w:val="lrTb"/>
            <w:noWrap w:val="false"/>
          </w:tcPr>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评委根据招标文件“第四章  项目需求”中“四、技术部分要求”的“（九）点位规划设计方案”要求的响应情况进行评审</w:t>
            </w:r>
            <w:r>
              <w:rPr>
                <w:rFonts w:hint="eastAsia" w:ascii="宋体" w:hAnsi="宋体" w:cs="宋体"/>
                <w:color w:val="000000"/>
                <w:sz w:val="21"/>
                <w:szCs w:val="21"/>
                <w:highlight w:val="none"/>
                <w:lang w:val="en-US" w:eastAsia="zh-CN"/>
              </w:rPr>
            </w:r>
            <w:r/>
          </w:p>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（1）投标文件未符合“点位规划设计方案”中全部条款要求的，视为不符合招标文件，本项得0分。</w:t>
            </w:r>
            <w:r>
              <w:rPr>
                <w:rFonts w:hint="eastAsia" w:ascii="宋体" w:hAnsi="宋体" w:cs="宋体"/>
                <w:color w:val="000000"/>
                <w:sz w:val="21"/>
                <w:szCs w:val="21"/>
                <w:highlight w:val="none"/>
                <w:lang w:val="en-US" w:eastAsia="zh-CN"/>
              </w:rPr>
            </w:r>
            <w:r/>
          </w:p>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（2）投标文件符合“点位规划设计方案”中全部条款要求的，视为符合招标文件，本项得2分。</w:t>
            </w:r>
            <w:r>
              <w:rPr>
                <w:rFonts w:hint="eastAsia" w:ascii="宋体" w:hAnsi="宋体" w:cs="宋体"/>
                <w:color w:val="000000"/>
                <w:sz w:val="21"/>
                <w:szCs w:val="21"/>
                <w:highlight w:val="none"/>
                <w:lang w:val="en-US" w:eastAsia="zh-CN"/>
              </w:rPr>
            </w:r>
            <w:r/>
          </w:p>
          <w:p>
            <w:pPr>
              <w:pStyle w:val="924"/>
              <w:jc w:val="lef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经评委认定，投标文件对“点位规划设计方案”中“网关点位布局优化设计”“现场勘察”“高空安装”三项要求的响应内容全部优于招标文件要求的（前提是投标文件对除“网关点位布局优化设计”“现场勘察”“高空安装”外其他要求响应内容符合招标文件要求），本项得4分。</w:t>
            </w:r>
            <w:r>
              <w:rPr>
                <w:rFonts w:hint="eastAsia" w:ascii="宋体" w:hAnsi="宋体" w:cs="宋体"/>
                <w:color w:val="000000"/>
                <w:sz w:val="21"/>
                <w:szCs w:val="21"/>
                <w:highlight w:val="none"/>
                <w:lang w:val="en-US" w:eastAsia="zh-CN"/>
              </w:rPr>
            </w:r>
            <w:r/>
          </w:p>
        </w:tc>
        <w:tc>
          <w:tcPr>
            <w:tcW w:w="899" w:type="dxa"/>
            <w:vAlign w:val="center"/>
            <w:textDirection w:val="lrTb"/>
            <w:noWrap w:val="false"/>
          </w:tcPr>
          <w:p>
            <w:pPr>
              <w:pStyle w:val="924"/>
              <w:jc w:val="center"/>
              <w:widowControl/>
              <w:rPr>
                <w:rFonts w:ascii="宋体" w:hAnsi="宋体" w:cs="宋体"/>
                <w:color w:val="000000"/>
                <w:lang w:val="en-US" w:eastAsia="zh-CN"/>
              </w:rPr>
            </w:pPr>
            <w:r>
              <w:rPr>
                <w:rFonts w:hint="eastAsia" w:ascii="宋体" w:hAnsi="宋体" w:cs="宋体"/>
                <w:color w:val="000000"/>
                <w:lang w:val="en-US" w:eastAsia="zh-CN"/>
              </w:rPr>
              <w:t xml:space="preserve">4</w:t>
            </w:r>
            <w:r>
              <w:rPr>
                <w:rFonts w:ascii="宋体" w:hAnsi="宋体" w:cs="宋体"/>
                <w:color w:val="000000"/>
                <w:lang w:val="en-US" w:eastAsia="zh-CN"/>
              </w:rPr>
            </w:r>
            <w:r/>
          </w:p>
        </w:tc>
      </w:tr>
      <w:tr>
        <w:trPr>
          <w:trHeight w:val="284"/>
        </w:trPr>
        <w:tc>
          <w:tcPr>
            <w:tcW w:w="763" w:type="dxa"/>
            <w:vAlign w:val="center"/>
            <w:textDirection w:val="lrTb"/>
            <w:noWrap w:val="false"/>
          </w:tcPr>
          <w:p>
            <w:pPr>
              <w:pStyle w:val="92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3.9</w:t>
            </w:r>
            <w:r>
              <w:rPr>
                <w:rFonts w:ascii="宋体" w:hAnsi="宋体" w:eastAsia="宋体" w:cs="宋体"/>
                <w:color w:val="000000"/>
                <w:highlight w:val="none"/>
                <w:lang w:val="en-US" w:eastAsia="zh-CN"/>
              </w:rPr>
            </w:r>
            <w:r/>
          </w:p>
        </w:tc>
        <w:tc>
          <w:tcPr>
            <w:tcW w:w="1064" w:type="dxa"/>
            <w:vAlign w:val="center"/>
            <w:textDirection w:val="lrTb"/>
            <w:noWrap w:val="false"/>
          </w:tcPr>
          <w:p>
            <w:pPr>
              <w:pStyle w:val="924"/>
              <w:jc w:val="center"/>
              <w:widowControl/>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售后服务</w:t>
            </w:r>
            <w:r>
              <w:rPr>
                <w:rFonts w:hint="eastAsia" w:ascii="宋体" w:hAnsi="宋体" w:cs="宋体"/>
                <w:color w:val="000000"/>
                <w:highlight w:val="none"/>
                <w:lang w:val="en-US" w:eastAsia="zh-CN"/>
              </w:rPr>
              <w:t xml:space="preserve">方案</w:t>
            </w:r>
            <w:r>
              <w:rPr>
                <w:rFonts w:ascii="宋体" w:hAnsi="宋体" w:eastAsia="宋体" w:cs="宋体"/>
                <w:color w:val="000000"/>
                <w:highlight w:val="none"/>
                <w:lang w:val="en-US" w:eastAsia="zh-CN"/>
              </w:rPr>
            </w:r>
            <w:r/>
          </w:p>
        </w:tc>
        <w:tc>
          <w:tcPr>
            <w:tcW w:w="7236" w:type="dxa"/>
            <w:vAlign w:val="center"/>
            <w:textDirection w:val="lrTb"/>
            <w:noWrap w:val="false"/>
          </w:tcPr>
          <w:p>
            <w:pPr>
              <w:pStyle w:val="924"/>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评委根据招标文件“第四章  项目需求”中“四、技术部分要求”的“（</w:t>
            </w:r>
            <w:r>
              <w:rPr>
                <w:rFonts w:hint="eastAsia" w:ascii="宋体" w:hAnsi="宋体" w:cs="宋体"/>
                <w:color w:val="000000"/>
                <w:highlight w:val="none"/>
                <w:lang w:val="en-US" w:eastAsia="zh-CN"/>
              </w:rPr>
              <w:t xml:space="preserve">十</w:t>
            </w:r>
            <w:r>
              <w:rPr>
                <w:rFonts w:hint="eastAsia" w:ascii="宋体" w:hAnsi="宋体" w:eastAsia="宋体" w:cs="宋体"/>
                <w:color w:val="000000"/>
                <w:highlight w:val="none"/>
              </w:rPr>
              <w:t xml:space="preserve">）售后服务方案”要求的响应情况进行评审</w:t>
            </w:r>
            <w:r>
              <w:rPr>
                <w:rFonts w:hint="eastAsia" w:ascii="宋体" w:hAnsi="宋体" w:eastAsia="宋体" w:cs="宋体"/>
                <w:color w:val="000000"/>
                <w:highlight w:val="none"/>
              </w:rPr>
            </w:r>
            <w:r/>
          </w:p>
          <w:p>
            <w:pPr>
              <w:pStyle w:val="924"/>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（1）投标文件未符合“售后服务方案”中全部条款要求的，视为不符合招标文件，本项得0分。</w:t>
            </w:r>
            <w:r>
              <w:rPr>
                <w:rFonts w:hint="eastAsia" w:ascii="宋体" w:hAnsi="宋体" w:eastAsia="宋体" w:cs="宋体"/>
                <w:color w:val="000000"/>
                <w:highlight w:val="none"/>
              </w:rPr>
            </w:r>
            <w:r/>
          </w:p>
          <w:p>
            <w:pPr>
              <w:pStyle w:val="924"/>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（2）投标文件符合“售后服务方案”中全部条款要求的，视为符合招标文件，本项得</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24"/>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（3）经评委认定，投标文件对“售后服务方案”中“售后服务体系”“</w:t>
            </w:r>
            <w:r>
              <w:rPr>
                <w:rFonts w:hint="eastAsia" w:ascii="宋体" w:hAnsi="宋体" w:cs="宋体"/>
                <w:color w:val="000000"/>
                <w:highlight w:val="none"/>
                <w:lang w:val="en-US" w:eastAsia="zh-CN"/>
              </w:rPr>
              <w:t xml:space="preserve">技术支持</w:t>
            </w:r>
            <w:r>
              <w:rPr>
                <w:rFonts w:hint="eastAsia" w:ascii="宋体" w:hAnsi="宋体" w:eastAsia="宋体" w:cs="宋体"/>
                <w:color w:val="000000"/>
                <w:highlight w:val="none"/>
              </w:rPr>
              <w:t xml:space="preserve">”要求的响应内容全部优于招标文件要求的（前提是投标文件对除“售后服务体系”“技术支持”外其他要求响应内容符合招标文件要求），本项得</w:t>
            </w: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sz w:val="21"/>
                <w:szCs w:val="21"/>
                <w:highlight w:val="none"/>
                <w:lang w:val="en-US" w:eastAsia="zh-CN"/>
              </w:rPr>
            </w:r>
            <w:r/>
          </w:p>
        </w:tc>
        <w:tc>
          <w:tcPr>
            <w:tcW w:w="899" w:type="dxa"/>
            <w:vAlign w:val="center"/>
            <w:textDirection w:val="lrTb"/>
            <w:noWrap w:val="false"/>
          </w:tcPr>
          <w:p>
            <w:pPr>
              <w:pStyle w:val="924"/>
              <w:jc w:val="center"/>
              <w:widowControl/>
              <w:rPr>
                <w:rFonts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ascii="宋体" w:hAnsi="宋体" w:eastAsia="宋体" w:cs="宋体"/>
                <w:color w:val="000000"/>
                <w:highlight w:val="none"/>
                <w:lang w:val="en-US" w:eastAsia="zh-CN"/>
              </w:rPr>
            </w:r>
            <w:r/>
          </w:p>
        </w:tc>
      </w:tr>
    </w:tbl>
    <w:p>
      <w:pPr>
        <w:pStyle w:val="1003"/>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24"/>
        <w:rPr>
          <w:rFonts w:hint="eastAsia"/>
        </w:rPr>
      </w:pPr>
      <w:r>
        <w:rPr>
          <w:rFonts w:hint="eastAsia"/>
        </w:rPr>
      </w:r>
      <w:r/>
    </w:p>
    <w:p>
      <w:pPr>
        <w:pStyle w:val="924"/>
        <w:rPr>
          <w:rFonts w:hint="eastAsia"/>
        </w:rPr>
      </w:pPr>
      <w:r/>
      <w:bookmarkEnd w:id="174"/>
      <w:r/>
      <w:bookmarkEnd w:id="175"/>
      <w:r/>
      <w:bookmarkEnd w:id="180"/>
      <w:r/>
      <w:bookmarkEnd w:id="181"/>
      <w:r/>
      <w:bookmarkEnd w:id="182"/>
      <w:r>
        <w:rPr>
          <w:rFonts w:hint="eastAsia"/>
        </w:rPr>
      </w:r>
      <w:r/>
    </w:p>
    <w:p>
      <w:pPr>
        <w:jc w:val="center"/>
        <w:keepNext/>
        <w:rPr>
          <w:rFonts w:hint="eastAsia" w:ascii="黑体" w:hAnsi="Times New Roman" w:eastAsia="黑体"/>
          <w:color w:val="000000"/>
          <w:sz w:val="44"/>
          <w:szCs w:val="44"/>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highlight w:val="none"/>
        </w:rPr>
      </w:r>
      <w:r>
        <w:rPr>
          <w:rFonts w:hint="eastAsia" w:ascii="黑体" w:hAnsi="Times New Roman" w:eastAsia="黑体"/>
          <w:bCs/>
          <w:color w:val="000000"/>
          <w:sz w:val="44"/>
          <w:szCs w:val="28"/>
          <w:highlight w:val="none"/>
        </w:rPr>
      </w:r>
      <w:r/>
    </w:p>
    <w:p>
      <w:pPr>
        <w:pStyle w:val="924"/>
        <w:jc w:val="center"/>
        <w:keepNext/>
        <w:rPr>
          <w:rFonts w:hint="eastAsia" w:ascii="黑体" w:hAnsi="Times New Roman" w:eastAsia="黑体"/>
          <w:color w:val="000000"/>
          <w:sz w:val="44"/>
          <w:szCs w:val="44"/>
          <w:highlight w:val="none"/>
        </w:rPr>
        <w:outlineLvl w:val="0"/>
      </w:pPr>
      <w:r>
        <w:rPr>
          <w:rFonts w:hint="eastAsia" w:ascii="黑体" w:hAnsi="Times New Roman" w:eastAsia="黑体"/>
          <w:bCs/>
          <w:color w:val="000000"/>
          <w:sz w:val="44"/>
          <w:szCs w:val="28"/>
        </w:rPr>
        <w:t xml:space="preserve">第六章  投标文件格式</w:t>
      </w:r>
      <w:r>
        <w:rPr>
          <w:rFonts w:hint="eastAsia" w:ascii="黑体" w:hAnsi="Times New Roman" w:eastAsia="黑体"/>
          <w:bCs/>
          <w:color w:val="000000"/>
          <w:sz w:val="44"/>
          <w:szCs w:val="28"/>
        </w:rPr>
      </w:r>
      <w:r/>
    </w:p>
    <w:p>
      <w:pPr>
        <w:pStyle w:val="924"/>
        <w:jc w:val="center"/>
        <w:rPr>
          <w:rFonts w:hint="eastAsia" w:ascii="宋体" w:hAnsi="宋体"/>
          <w:b/>
          <w:color w:val="000000"/>
          <w:sz w:val="72"/>
          <w:szCs w:val="21"/>
        </w:rPr>
      </w:pPr>
      <w:r/>
      <w:bookmarkStart w:id="183" w:name="_Hlt26955039"/>
      <w:r/>
      <w:bookmarkEnd w:id="183"/>
      <w:r/>
      <w:bookmarkStart w:id="184" w:name="_Hlt26671244"/>
      <w:r/>
      <w:bookmarkEnd w:id="184"/>
      <w:r/>
      <w:bookmarkStart w:id="185" w:name="_Toc49090576"/>
      <w:r/>
      <w:bookmarkStart w:id="186" w:name="_Toc120614282"/>
      <w:r/>
      <w:bookmarkStart w:id="187" w:name="_Toc26554094"/>
      <w:r>
        <w:rPr>
          <w:rFonts w:hint="eastAsia" w:ascii="宋体" w:hAnsi="宋体"/>
          <w:b/>
          <w:color w:val="000000"/>
          <w:sz w:val="72"/>
          <w:szCs w:val="21"/>
        </w:rPr>
      </w:r>
      <w:r/>
    </w:p>
    <w:p>
      <w:pPr>
        <w:pStyle w:val="924"/>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4"/>
        <w:jc w:val="center"/>
        <w:rPr>
          <w:rFonts w:hint="eastAsia" w:ascii="宋体" w:hAnsi="宋体"/>
          <w:b/>
          <w:color w:val="000000"/>
          <w:sz w:val="36"/>
          <w:szCs w:val="21"/>
        </w:rPr>
      </w:pPr>
      <w:r>
        <w:rPr>
          <w:rFonts w:hint="eastAsia" w:ascii="宋体" w:hAnsi="宋体"/>
          <w:b/>
          <w:color w:val="000000"/>
          <w:sz w:val="36"/>
          <w:szCs w:val="21"/>
        </w:rPr>
      </w:r>
      <w:r/>
    </w:p>
    <w:p>
      <w:pPr>
        <w:pStyle w:val="924"/>
        <w:jc w:val="center"/>
        <w:rPr>
          <w:rFonts w:hint="eastAsia" w:ascii="宋体" w:hAnsi="宋体"/>
          <w:b/>
          <w:color w:val="000000"/>
          <w:sz w:val="36"/>
          <w:szCs w:val="21"/>
        </w:rPr>
      </w:pPr>
      <w:r>
        <w:rPr>
          <w:rFonts w:hint="eastAsia" w:ascii="宋体" w:hAnsi="宋体"/>
          <w:b/>
          <w:color w:val="000000"/>
          <w:sz w:val="36"/>
          <w:szCs w:val="21"/>
        </w:rPr>
      </w:r>
      <w:r/>
    </w:p>
    <w:p>
      <w:pPr>
        <w:pStyle w:val="924"/>
        <w:jc w:val="center"/>
        <w:rPr>
          <w:rFonts w:hint="eastAsia" w:ascii="宋体" w:hAnsi="宋体"/>
          <w:b/>
          <w:color w:val="000000"/>
          <w:sz w:val="36"/>
          <w:szCs w:val="21"/>
        </w:rPr>
      </w:pPr>
      <w:r>
        <w:rPr>
          <w:rFonts w:hint="eastAsia" w:ascii="宋体" w:hAnsi="宋体"/>
          <w:b/>
          <w:color w:val="000000"/>
          <w:sz w:val="36"/>
          <w:szCs w:val="21"/>
        </w:rPr>
      </w:r>
      <w:r/>
    </w:p>
    <w:p>
      <w:pPr>
        <w:pStyle w:val="924"/>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24"/>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4"/>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2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4"/>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24"/>
        <w:jc w:val="center"/>
        <w:spacing w:line="440" w:lineRule="exact"/>
        <w:rPr>
          <w:rFonts w:hint="eastAsia" w:ascii="宋体" w:hAnsi="宋体"/>
          <w:b/>
          <w:bCs/>
          <w:sz w:val="32"/>
          <w:szCs w:val="32"/>
        </w:rPr>
      </w:pPr>
      <w:r>
        <w:rPr>
          <w:rFonts w:hint="eastAsia" w:ascii="宋体" w:hAnsi="宋体"/>
          <w:b/>
          <w:bCs/>
          <w:sz w:val="32"/>
          <w:szCs w:val="32"/>
        </w:rPr>
      </w:r>
      <w:r/>
    </w:p>
    <w:p>
      <w:pPr>
        <w:pStyle w:val="924"/>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24"/>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24"/>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24"/>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24"/>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24"/>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24"/>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24"/>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24"/>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24"/>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24"/>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24"/>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24"/>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24"/>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24"/>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24"/>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24"/>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24"/>
        <w:ind w:firstLine="480"/>
        <w:spacing w:line="400" w:lineRule="exact"/>
        <w:rPr>
          <w:rFonts w:hint="eastAsia" w:ascii="宋体" w:hAnsi="宋体"/>
          <w:sz w:val="24"/>
          <w:szCs w:val="21"/>
        </w:rPr>
      </w:pPr>
      <w:r>
        <w:rPr>
          <w:rFonts w:hint="eastAsia" w:ascii="宋体" w:hAnsi="宋体"/>
          <w:sz w:val="24"/>
          <w:szCs w:val="21"/>
        </w:rPr>
      </w:r>
      <w:r/>
    </w:p>
    <w:p>
      <w:pPr>
        <w:pStyle w:val="924"/>
        <w:ind w:left="480"/>
        <w:rPr>
          <w:rFonts w:ascii="宋体" w:hAnsi="宋体"/>
          <w:b/>
          <w:sz w:val="24"/>
          <w:szCs w:val="21"/>
        </w:rPr>
      </w:pPr>
      <w:r>
        <w:rPr>
          <w:rFonts w:ascii="宋体" w:hAnsi="宋体"/>
          <w:b/>
          <w:sz w:val="24"/>
          <w:szCs w:val="21"/>
        </w:rPr>
      </w:r>
      <w:r/>
    </w:p>
    <w:p>
      <w:pPr>
        <w:pStyle w:val="924"/>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24"/>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24"/>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24"/>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24"/>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2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24"/>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24"/>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24"/>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24"/>
        <w:rPr>
          <w:rFonts w:ascii="宋体" w:hAnsi="宋体"/>
          <w:sz w:val="24"/>
          <w:szCs w:val="24"/>
        </w:rPr>
      </w:pPr>
      <w:r>
        <w:rPr>
          <w:rFonts w:ascii="宋体" w:hAnsi="宋体"/>
          <w:sz w:val="24"/>
          <w:szCs w:val="24"/>
        </w:rPr>
      </w:r>
      <w:r/>
    </w:p>
    <w:p>
      <w:pPr>
        <w:pStyle w:val="924"/>
        <w:rPr>
          <w:rFonts w:ascii="宋体" w:hAnsi="宋体"/>
          <w:sz w:val="24"/>
          <w:szCs w:val="24"/>
        </w:rPr>
      </w:pPr>
      <w:r>
        <w:rPr>
          <w:rFonts w:ascii="宋体" w:hAnsi="宋体"/>
          <w:sz w:val="24"/>
          <w:szCs w:val="24"/>
        </w:rPr>
      </w:r>
      <w:r/>
    </w:p>
    <w:p>
      <w:pPr>
        <w:pStyle w:val="924"/>
        <w:jc w:val="both"/>
        <w:rPr>
          <w:rFonts w:ascii="宋体" w:hAnsi="宋体"/>
          <w:b/>
          <w:sz w:val="24"/>
          <w:szCs w:val="24"/>
        </w:rPr>
      </w:pPr>
      <w:r>
        <w:rPr>
          <w:rFonts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24"/>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24"/>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24"/>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24"/>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24"/>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1003"/>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2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4"/>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24"/>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24"/>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24"/>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24"/>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bl>
    <w:p>
      <w:pPr>
        <w:pStyle w:val="92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4"/>
        <w:spacing w:line="400" w:lineRule="exact"/>
        <w:rPr>
          <w:rFonts w:ascii="宋体" w:hAnsi="宋体"/>
          <w:sz w:val="24"/>
          <w:szCs w:val="24"/>
        </w:rPr>
      </w:pP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2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24"/>
              <w:jc w:val="center"/>
              <w:spacing w:line="400" w:lineRule="exact"/>
              <w:rPr>
                <w:rFonts w:hint="eastAsia" w:ascii="宋体" w:hAnsi="宋体"/>
                <w:sz w:val="24"/>
                <w:szCs w:val="24"/>
              </w:rPr>
            </w:pPr>
            <w:r>
              <w:rPr>
                <w:rFonts w:hint="eastAsia" w:ascii="宋体" w:hAnsi="宋体"/>
                <w:sz w:val="24"/>
                <w:szCs w:val="24"/>
              </w:rPr>
            </w:r>
            <w:r/>
          </w:p>
        </w:tc>
      </w:tr>
    </w:tbl>
    <w:p>
      <w:pPr>
        <w:pStyle w:val="92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24"/>
        <w:spacing w:line="400" w:lineRule="exact"/>
        <w:rPr>
          <w:rFonts w:ascii="宋体" w:hAnsi="宋体"/>
          <w:sz w:val="24"/>
          <w:szCs w:val="24"/>
        </w:rPr>
      </w:pP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24"/>
        <w:rPr>
          <w:rFonts w:hint="eastAsia" w:ascii="宋体" w:hAnsi="宋体"/>
          <w:b/>
          <w:sz w:val="24"/>
          <w:szCs w:val="21"/>
        </w:rPr>
      </w:pPr>
      <w:r>
        <w:rPr>
          <w:rFonts w:hint="eastAsia" w:ascii="宋体" w:hAnsi="宋体"/>
          <w:b/>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hint="eastAsia" w:ascii="宋体" w:hAnsi="宋体"/>
          <w:b/>
          <w:color w:val="000000"/>
          <w:sz w:val="24"/>
          <w:szCs w:val="21"/>
        </w:rPr>
      </w:pPr>
      <w:r>
        <w:rPr>
          <w:rFonts w:hint="eastAsia" w:ascii="宋体" w:hAnsi="宋体"/>
          <w:b/>
          <w:color w:val="000000"/>
          <w:sz w:val="24"/>
          <w:szCs w:val="21"/>
        </w:rPr>
      </w:r>
      <w:r/>
    </w:p>
    <w:p>
      <w:pPr>
        <w:pStyle w:val="924"/>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2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2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4"/>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24"/>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ascii="宋体" w:hAnsi="宋体"/>
          <w:b/>
          <w:color w:val="000000"/>
          <w:sz w:val="24"/>
          <w:szCs w:val="21"/>
        </w:rPr>
      </w:pPr>
      <w:r>
        <w:rPr>
          <w:rFonts w:ascii="宋体" w:hAnsi="宋体"/>
          <w:b/>
          <w:color w:val="000000"/>
          <w:sz w:val="24"/>
          <w:szCs w:val="21"/>
        </w:rPr>
      </w:r>
      <w:r/>
    </w:p>
    <w:p>
      <w:pPr>
        <w:pStyle w:val="924"/>
        <w:ind w:left="480"/>
        <w:rPr>
          <w:rFonts w:hint="eastAsia" w:ascii="宋体" w:hAnsi="宋体"/>
          <w:b/>
          <w:color w:val="000000"/>
          <w:sz w:val="24"/>
          <w:szCs w:val="21"/>
        </w:rPr>
      </w:pPr>
      <w:r>
        <w:rPr>
          <w:rFonts w:hint="eastAsia" w:ascii="宋体" w:hAnsi="宋体"/>
          <w:b/>
          <w:color w:val="000000"/>
          <w:sz w:val="24"/>
          <w:szCs w:val="21"/>
        </w:rPr>
      </w:r>
      <w:r/>
    </w:p>
    <w:p>
      <w:pPr>
        <w:pStyle w:val="924"/>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24"/>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24"/>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5"/>
      <w:r/>
      <w:bookmarkEnd w:id="186"/>
      <w:r/>
      <w:bookmarkEnd w:id="187"/>
      <w:r/>
      <w:bookmarkStart w:id="188" w:name="_Toc120614284"/>
      <w:r>
        <w:rPr>
          <w:rFonts w:hint="eastAsia" w:ascii="宋体" w:hAnsi="宋体"/>
          <w:bCs/>
          <w:color w:val="000000"/>
          <w:sz w:val="24"/>
          <w:szCs w:val="21"/>
        </w:rPr>
      </w:r>
      <w:r/>
    </w:p>
    <w:p>
      <w:pPr>
        <w:pStyle w:val="924"/>
        <w:spacing w:line="460" w:lineRule="exact"/>
        <w:rPr>
          <w:rFonts w:hint="eastAsia" w:ascii="宋体" w:hAnsi="宋体"/>
          <w:b/>
          <w:color w:val="000000"/>
          <w:sz w:val="24"/>
          <w:szCs w:val="21"/>
        </w:rPr>
      </w:pPr>
      <w:r>
        <w:rPr>
          <w:rFonts w:hint="eastAsia"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ascii="宋体" w:hAnsi="宋体"/>
          <w:b/>
          <w:color w:val="000000"/>
          <w:sz w:val="24"/>
          <w:szCs w:val="21"/>
        </w:rPr>
      </w:pPr>
      <w:r>
        <w:rPr>
          <w:rFonts w:ascii="宋体" w:hAnsi="宋体"/>
          <w:b/>
          <w:color w:val="000000"/>
          <w:sz w:val="24"/>
          <w:szCs w:val="21"/>
        </w:rPr>
      </w:r>
      <w:r/>
    </w:p>
    <w:p>
      <w:pPr>
        <w:pStyle w:val="924"/>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2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2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24"/>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4"/>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4"/>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24"/>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24"/>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4"/>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89" w:name="_Hlt26671380"/>
      <w:r/>
      <w:bookmarkEnd w:id="189"/>
      <w:r/>
      <w:bookmarkStart w:id="190" w:name="_Hlt26955070"/>
      <w:r/>
      <w:bookmarkEnd w:id="190"/>
      <w:r/>
      <w:bookmarkStart w:id="191" w:name="_格式3__银行出具的资信证明"/>
      <w:r/>
      <w:bookmarkEnd w:id="191"/>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24"/>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24"/>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24"/>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24"/>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24"/>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24"/>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24"/>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rPr>
          <w:rFonts w:hint="eastAsia" w:ascii="宋体" w:hAnsi="宋体"/>
          <w:color w:val="000000"/>
          <w:sz w:val="24"/>
          <w:szCs w:val="21"/>
        </w:rPr>
      </w:r>
      <w:r/>
    </w:p>
    <w:p>
      <w:pPr>
        <w:pStyle w:val="924"/>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2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4"/>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24"/>
        <w:spacing w:line="560" w:lineRule="exact"/>
        <w:rPr>
          <w:rFonts w:ascii="宋体" w:hAnsi="宋体"/>
          <w:b/>
          <w:color w:val="ff0000"/>
          <w:sz w:val="24"/>
          <w:szCs w:val="21"/>
        </w:rPr>
      </w:pPr>
      <w:r>
        <w:rPr>
          <w:rFonts w:ascii="宋体" w:hAnsi="宋体"/>
          <w:b/>
          <w:color w:val="ff0000"/>
          <w:sz w:val="24"/>
          <w:szCs w:val="21"/>
        </w:rPr>
      </w:r>
      <w:r/>
    </w:p>
    <w:p>
      <w:pPr>
        <w:pStyle w:val="924"/>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2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2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2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24"/>
        <w:ind w:right="720"/>
        <w:spacing w:line="400" w:lineRule="exact"/>
        <w:rPr>
          <w:rFonts w:hint="eastAsia" w:ascii="宋体" w:hAnsi="宋体"/>
          <w:sz w:val="24"/>
          <w:szCs w:val="24"/>
        </w:rPr>
      </w:pPr>
      <w:r>
        <w:rPr>
          <w:rFonts w:hint="eastAsia" w:ascii="宋体" w:hAnsi="宋体"/>
          <w:sz w:val="24"/>
          <w:szCs w:val="24"/>
        </w:rPr>
      </w:r>
      <w:r/>
    </w:p>
    <w:p>
      <w:pPr>
        <w:pStyle w:val="924"/>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24"/>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2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2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2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24"/>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24"/>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24"/>
        <w:ind w:firstLine="480"/>
        <w:spacing w:line="400" w:lineRule="exact"/>
        <w:rPr>
          <w:rFonts w:ascii="宋体" w:hAnsi="宋体"/>
          <w:sz w:val="24"/>
          <w:szCs w:val="21"/>
        </w:rPr>
      </w:pPr>
      <w:r>
        <w:rPr>
          <w:rFonts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24"/>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24"/>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24"/>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24"/>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24"/>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4"/>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24"/>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24"/>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24"/>
        <w:ind w:firstLine="645"/>
        <w:spacing w:line="400" w:lineRule="exact"/>
        <w:rPr>
          <w:rFonts w:hint="eastAsia" w:ascii="宋体" w:hAnsi="宋体"/>
          <w:sz w:val="24"/>
          <w:szCs w:val="21"/>
        </w:rPr>
      </w:pPr>
      <w:r>
        <w:rPr>
          <w:rFonts w:hint="eastAsia" w:ascii="宋体" w:hAnsi="宋体"/>
          <w:sz w:val="24"/>
          <w:szCs w:val="21"/>
        </w:rPr>
      </w:r>
      <w:r/>
    </w:p>
    <w:p>
      <w:pPr>
        <w:pStyle w:val="924"/>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24"/>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24"/>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r>
      <w:r/>
    </w:p>
    <w:p>
      <w:pPr>
        <w:pStyle w:val="924"/>
        <w:ind w:firstLine="645"/>
        <w:spacing w:line="400" w:lineRule="exact"/>
        <w:rPr>
          <w:rFonts w:ascii="宋体" w:hAnsi="宋体"/>
          <w:sz w:val="24"/>
          <w:szCs w:val="21"/>
        </w:rPr>
      </w:pPr>
      <w:r>
        <w:rPr>
          <w:rFonts w:ascii="宋体" w:hAnsi="宋体"/>
          <w:sz w:val="24"/>
          <w:szCs w:val="21"/>
        </w:rPr>
      </w:r>
      <w:r/>
    </w:p>
    <w:p>
      <w:pPr>
        <w:pStyle w:val="924"/>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24"/>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ascii="Times New Roman" w:hAnsi="Times New Roman"/>
          <w:color w:val="000000"/>
          <w:szCs w:val="21"/>
        </w:rPr>
      </w:pPr>
      <w:r>
        <w:rPr>
          <w:rFonts w:ascii="Times New Roman" w:hAnsi="Times New Roman"/>
          <w:color w:val="000000"/>
          <w:szCs w:val="21"/>
        </w:rPr>
      </w:r>
      <w:r/>
    </w:p>
    <w:p>
      <w:pPr>
        <w:pStyle w:val="924"/>
        <w:rPr>
          <w:rFonts w:hint="eastAsia" w:ascii="Times New Roman" w:hAnsi="Times New Roman"/>
          <w:color w:val="000000"/>
          <w:szCs w:val="21"/>
        </w:rPr>
      </w:pPr>
      <w:r>
        <w:rPr>
          <w:rFonts w:hint="eastAsia" w:ascii="Times New Roman" w:hAnsi="Times New Roman"/>
          <w:color w:val="000000"/>
          <w:szCs w:val="21"/>
        </w:rPr>
      </w:r>
      <w:r/>
    </w:p>
    <w:p>
      <w:pPr>
        <w:pStyle w:val="92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2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2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24"/>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24"/>
        <w:spacing w:line="400" w:lineRule="exact"/>
        <w:rPr>
          <w:rFonts w:ascii="宋体" w:hAnsi="宋体"/>
          <w:color w:val="000000"/>
          <w:sz w:val="24"/>
          <w:szCs w:val="24"/>
        </w:rPr>
      </w:pPr>
      <w:r>
        <w:rPr>
          <w:rFonts w:ascii="宋体" w:hAnsi="宋体"/>
          <w:color w:val="000000"/>
          <w:sz w:val="24"/>
          <w:szCs w:val="24"/>
        </w:rPr>
      </w:r>
      <w:r/>
    </w:p>
    <w:p>
      <w:pPr>
        <w:pStyle w:val="92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24"/>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2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spacing w:line="400" w:lineRule="exact"/>
        <w:rPr>
          <w:rFonts w:hint="eastAsia" w:ascii="宋体" w:hAnsi="宋体"/>
          <w:sz w:val="24"/>
          <w:szCs w:val="24"/>
        </w:rPr>
      </w:pPr>
      <w:r>
        <w:rPr>
          <w:rFonts w:hint="eastAsia" w:ascii="宋体" w:hAnsi="宋体"/>
          <w:sz w:val="24"/>
          <w:szCs w:val="24"/>
        </w:rPr>
      </w:r>
      <w:r/>
    </w:p>
    <w:p>
      <w:pPr>
        <w:pStyle w:val="924"/>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1003"/>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100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42"/>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42"/>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42"/>
          <w:rFonts w:hint="eastAsia" w:ascii="宋体" w:hAnsi="宋体" w:eastAsia="宋体" w:cs="宋体"/>
          <w:i w:val="0"/>
          <w:iCs w:val="0"/>
          <w:caps w:val="0"/>
          <w:color w:val="000000"/>
          <w:spacing w:val="0"/>
          <w:sz w:val="24"/>
          <w:szCs w:val="24"/>
          <w:u w:val="single"/>
          <w:shd w:val="clear" w:color="auto" w:fill="ffffff"/>
        </w:rPr>
        <w:t xml:space="preserve">（厂名）</w:t>
      </w:r>
      <w:r>
        <w:rPr>
          <w:rStyle w:val="942"/>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42"/>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100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42"/>
          <w:rFonts w:hint="eastAsia" w:ascii="宋体" w:hAnsi="宋体" w:eastAsia="宋体" w:cs="宋体"/>
          <w:i w:val="0"/>
          <w:iCs w:val="0"/>
          <w:caps w:val="0"/>
          <w:color w:val="000000"/>
          <w:spacing w:val="0"/>
          <w:sz w:val="24"/>
          <w:szCs w:val="24"/>
          <w:u w:val="single"/>
          <w:shd w:val="clear" w:color="auto" w:fill="ffffff"/>
        </w:rPr>
        <w:t xml:space="preserve">（产品名称</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42"/>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42"/>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42"/>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100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1003"/>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1003"/>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03"/>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1003"/>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1003"/>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100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100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100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100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100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1003"/>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4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ascii="黑体" w:hAnsi="黑体" w:eastAsia="黑体"/>
          <w:b/>
          <w:color w:val="000000"/>
          <w:sz w:val="32"/>
          <w:szCs w:val="32"/>
        </w:rPr>
      </w:pPr>
      <w:r>
        <w:rPr>
          <w:rFonts w:ascii="黑体" w:hAnsi="黑体" w:eastAsia="黑体"/>
          <w:b/>
          <w:color w:val="000000"/>
          <w:sz w:val="32"/>
          <w:szCs w:val="32"/>
        </w:rPr>
      </w:r>
      <w:r/>
    </w:p>
    <w:p>
      <w:pPr>
        <w:pStyle w:val="92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24"/>
        <w:rPr>
          <w:rFonts w:hint="eastAsia" w:ascii="宋体" w:hAnsi="宋体" w:cs="仿宋"/>
          <w:b/>
          <w:bCs/>
          <w:color w:val="000000"/>
          <w:sz w:val="32"/>
          <w:szCs w:val="32"/>
        </w:rPr>
      </w:pPr>
      <w:r/>
      <w:bookmarkEnd w:id="188"/>
      <w:r>
        <w:rPr>
          <w:rFonts w:hint="eastAsia" w:ascii="宋体" w:hAnsi="宋体" w:cs="仿宋"/>
          <w:b/>
          <w:bCs/>
          <w:color w:val="000000"/>
          <w:sz w:val="32"/>
          <w:szCs w:val="32"/>
        </w:rPr>
      </w:r>
      <w:r/>
    </w:p>
    <w:p>
      <w:pPr>
        <w:pStyle w:val="924"/>
        <w:rPr>
          <w:rFonts w:hint="eastAsia" w:ascii="宋体" w:hAnsi="宋体" w:cs="仿宋"/>
          <w:b/>
          <w:bCs/>
          <w:color w:val="000000"/>
          <w:sz w:val="32"/>
          <w:szCs w:val="32"/>
        </w:rPr>
      </w:pPr>
      <w:r>
        <w:rPr>
          <w:rFonts w:hint="eastAsia" w:ascii="宋体" w:hAnsi="宋体" w:cs="仿宋"/>
          <w:b/>
          <w:bCs/>
          <w:color w:val="000000"/>
          <w:sz w:val="32"/>
          <w:szCs w:val="32"/>
        </w:rPr>
      </w:r>
      <w:r/>
    </w:p>
    <w:p>
      <w:pPr>
        <w:pStyle w:val="924"/>
        <w:rPr>
          <w:rFonts w:hint="eastAsia" w:ascii="宋体" w:hAnsi="宋体" w:cs="仿宋"/>
          <w:b/>
          <w:bCs/>
          <w:color w:val="000000"/>
          <w:sz w:val="32"/>
          <w:szCs w:val="32"/>
        </w:rPr>
      </w:pPr>
      <w:r>
        <w:rPr>
          <w:rFonts w:hint="eastAsia" w:ascii="宋体" w:hAnsi="宋体" w:cs="仿宋"/>
          <w:b/>
          <w:bCs/>
          <w:color w:val="000000"/>
          <w:sz w:val="32"/>
          <w:szCs w:val="32"/>
        </w:rPr>
      </w:r>
      <w:r/>
    </w:p>
    <w:p>
      <w:pPr>
        <w:pStyle w:val="924"/>
        <w:rPr>
          <w:rFonts w:hint="eastAsia" w:ascii="宋体" w:hAnsi="宋体" w:cs="仿宋"/>
          <w:b/>
          <w:bCs/>
          <w:color w:val="000000"/>
          <w:sz w:val="32"/>
          <w:szCs w:val="32"/>
        </w:rPr>
      </w:pPr>
      <w:r>
        <w:rPr>
          <w:rFonts w:hint="eastAsia" w:ascii="宋体" w:hAnsi="宋体" w:cs="仿宋"/>
          <w:b/>
          <w:bCs/>
          <w:color w:val="000000"/>
          <w:sz w:val="32"/>
          <w:szCs w:val="32"/>
        </w:rPr>
      </w:r>
      <w:r/>
    </w:p>
    <w:p>
      <w:pPr>
        <w:pStyle w:val="924"/>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4"/>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4"/>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汉仪书宋二S">
    <w:panose1 w:val="020B0503020202020204"/>
  </w:font>
  <w:font w:name="仿宋">
    <w:panose1 w:val="02010609060101010101"/>
  </w:font>
  <w:font w:name="方正楷体_GBK">
    <w:panose1 w:val="020B0503020202020204"/>
  </w:font>
  <w:font w:name="Symbol">
    <w:panose1 w:val="05050102010706020507"/>
  </w:font>
  <w:font w:name="Tahoma">
    <w:panose1 w:val="020B0604030504040204"/>
  </w:font>
  <w:font w:name="方正仿宋_GBK">
    <w:panose1 w:val="020B0503020202020204"/>
  </w:font>
  <w:font w:name="方正黑体_GBK">
    <w:panose1 w:val="020B0503020202020204"/>
  </w:font>
  <w:font w:name="华文楷体">
    <w:panose1 w:val="02010600040101010101"/>
  </w:font>
  <w:font w:name="Wingdings">
    <w:panose1 w:val="05000000000000000000"/>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100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2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rPr>
        <w:rStyle w:val="939"/>
      </w:rPr>
    </w:r>
    <w:r/>
  </w:p>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15"/>
      <w:isLgl w:val="false"/>
      <w:suff w:val="tab"/>
      <w:lvlText w:val="附录%1."/>
      <w:lvlJc w:val="left"/>
      <w:pPr>
        <w:pStyle w:val="92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37"/>
      <w:isLgl w:val="false"/>
      <w:suff w:val="tab"/>
      <w:lvlText w:val="%1."/>
      <w:lvlJc w:val="left"/>
      <w:pPr>
        <w:pStyle w:val="924"/>
        <w:ind w:left="709" w:hanging="709"/>
        <w:tabs>
          <w:tab w:val="num" w:pos="709" w:leader="none"/>
        </w:tabs>
      </w:pPr>
      <w:rPr>
        <w:rFonts w:hint="eastAsia"/>
      </w:rPr>
    </w:lvl>
    <w:lvl w:ilvl="1">
      <w:start w:val="1"/>
      <w:numFmt w:val="decimal"/>
      <w:isLgl w:val="false"/>
      <w:suff w:val="tab"/>
      <w:lvlText w:val="%1.%2"/>
      <w:lvlJc w:val="left"/>
      <w:pPr>
        <w:pStyle w:val="924"/>
        <w:ind w:left="709" w:hanging="709"/>
        <w:tabs>
          <w:tab w:val="num" w:pos="709" w:leader="none"/>
        </w:tabs>
      </w:pPr>
      <w:rPr>
        <w:rFonts w:hint="eastAsia"/>
      </w:rPr>
    </w:lvl>
    <w:lvl w:ilvl="2">
      <w:start w:val="1"/>
      <w:numFmt w:val="decimal"/>
      <w:isLgl w:val="false"/>
      <w:suff w:val="tab"/>
      <w:lvlText w:val="%1.%2.%3."/>
      <w:lvlJc w:val="left"/>
      <w:pPr>
        <w:pStyle w:val="924"/>
        <w:ind w:left="425" w:hanging="425"/>
        <w:tabs>
          <w:tab w:val="num" w:pos="425" w:leader="none"/>
        </w:tabs>
      </w:pPr>
      <w:rPr>
        <w:rFonts w:hint="eastAsia"/>
      </w:rPr>
    </w:lvl>
    <w:lvl w:ilvl="3">
      <w:start w:val="1"/>
      <w:numFmt w:val="decimal"/>
      <w:isLgl w:val="false"/>
      <w:suff w:val="tab"/>
      <w:lvlText w:val="%1.%2.%3.%4."/>
      <w:lvlJc w:val="left"/>
      <w:pPr>
        <w:pStyle w:val="924"/>
        <w:ind w:left="851" w:hanging="851"/>
        <w:tabs>
          <w:tab w:val="num" w:pos="851" w:leader="none"/>
        </w:tabs>
      </w:pPr>
      <w:rPr>
        <w:rFonts w:hint="eastAsia"/>
      </w:rPr>
    </w:lvl>
    <w:lvl w:ilvl="4">
      <w:start w:val="1"/>
      <w:numFmt w:val="decimal"/>
      <w:isLgl w:val="false"/>
      <w:suff w:val="tab"/>
      <w:lvlText w:val="%1.%2.%3.%4.%5."/>
      <w:lvlJc w:val="left"/>
      <w:pPr>
        <w:pStyle w:val="924"/>
        <w:ind w:left="992" w:hanging="992"/>
        <w:tabs>
          <w:tab w:val="num" w:pos="992" w:leader="none"/>
        </w:tabs>
      </w:pPr>
      <w:rPr>
        <w:rFonts w:hint="eastAsia"/>
      </w:rPr>
    </w:lvl>
    <w:lvl w:ilvl="5">
      <w:start w:val="1"/>
      <w:numFmt w:val="decimal"/>
      <w:isLgl w:val="false"/>
      <w:suff w:val="tab"/>
      <w:lvlText w:val="%1.%2.%3.%4.%5.%6."/>
      <w:lvlJc w:val="left"/>
      <w:pPr>
        <w:pStyle w:val="924"/>
        <w:ind w:left="1134" w:hanging="1134"/>
        <w:tabs>
          <w:tab w:val="num" w:pos="1134" w:leader="none"/>
        </w:tabs>
      </w:pPr>
      <w:rPr>
        <w:rFonts w:hint="eastAsia"/>
      </w:rPr>
    </w:lvl>
    <w:lvl w:ilvl="6">
      <w:start w:val="1"/>
      <w:numFmt w:val="decimal"/>
      <w:isLgl w:val="false"/>
      <w:suff w:val="tab"/>
      <w:lvlText w:val="%1.%2.%3.%4.%5.%6.%7."/>
      <w:lvlJc w:val="left"/>
      <w:pPr>
        <w:pStyle w:val="924"/>
        <w:ind w:left="1276" w:hanging="1276"/>
        <w:tabs>
          <w:tab w:val="num" w:pos="1276" w:leader="none"/>
        </w:tabs>
      </w:pPr>
      <w:rPr>
        <w:rFonts w:hint="eastAsia"/>
      </w:rPr>
    </w:lvl>
    <w:lvl w:ilvl="7">
      <w:start w:val="1"/>
      <w:numFmt w:val="decimal"/>
      <w:isLgl w:val="false"/>
      <w:suff w:val="tab"/>
      <w:lvlText w:val="%1.%2.%3.%4.%5.%6.%7.%8."/>
      <w:lvlJc w:val="left"/>
      <w:pPr>
        <w:pStyle w:val="924"/>
        <w:ind w:left="1418" w:hanging="1418"/>
        <w:tabs>
          <w:tab w:val="num" w:pos="1418" w:leader="none"/>
        </w:tabs>
      </w:pPr>
      <w:rPr>
        <w:rFonts w:hint="eastAsia"/>
      </w:rPr>
    </w:lvl>
    <w:lvl w:ilvl="8">
      <w:start w:val="1"/>
      <w:numFmt w:val="decimal"/>
      <w:isLgl w:val="false"/>
      <w:suff w:val="tab"/>
      <w:lvlText w:val="%1.%2.%3.%4.%5.%6.%7.%8.%9."/>
      <w:lvlJc w:val="left"/>
      <w:pPr>
        <w:pStyle w:val="924"/>
        <w:ind w:left="1559" w:hanging="1559"/>
        <w:tabs>
          <w:tab w:val="num"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pStyle w:val="924"/>
        <w:ind w:left="0" w:firstLine="0"/>
      </w:pPr>
      <w:rPr>
        <w:rFonts w:hint="eastAsia"/>
      </w:rPr>
    </w:lvl>
    <w:lvl w:ilvl="1">
      <w:start w:val="1"/>
      <w:numFmt w:val="decimal"/>
      <w:isLgl w:val="false"/>
      <w:suff w:val="nothing"/>
      <w:lvlText w:val="%2、"/>
      <w:lvlJc w:val="left"/>
      <w:pPr>
        <w:pStyle w:val="924"/>
        <w:ind w:left="0" w:firstLine="0"/>
      </w:pPr>
      <w:rPr>
        <w:rFonts w:hint="eastAsia"/>
      </w:rPr>
    </w:lvl>
    <w:lvl w:ilvl="2">
      <w:start w:val="1"/>
      <w:numFmt w:val="decimal"/>
      <w:isLgl w:val="false"/>
      <w:suff w:val="nothing"/>
      <w:lvlText w:val="%2.%3 "/>
      <w:lvlJc w:val="left"/>
      <w:pPr>
        <w:pStyle w:val="924"/>
        <w:ind w:left="0" w:firstLine="0"/>
      </w:pPr>
      <w:rPr>
        <w:rFonts w:hint="eastAsia"/>
      </w:rPr>
    </w:lvl>
    <w:lvl w:ilvl="3">
      <w:start w:val="1"/>
      <w:numFmt w:val="decimal"/>
      <w:isLgl w:val="false"/>
      <w:suff w:val="nothing"/>
      <w:lvlText w:val="%2.%3.%4 "/>
      <w:lvlJc w:val="left"/>
      <w:pPr>
        <w:pStyle w:val="924"/>
        <w:ind w:left="0" w:firstLine="0"/>
      </w:pPr>
      <w:rPr>
        <w:rFonts w:hint="eastAsia"/>
      </w:rPr>
    </w:lvl>
    <w:lvl w:ilvl="4">
      <w:start w:val="1"/>
      <w:numFmt w:val="decimal"/>
      <w:isLgl w:val="false"/>
      <w:suff w:val="nothing"/>
      <w:lvlText w:val="%2.%3.%4.%5 "/>
      <w:lvlJc w:val="left"/>
      <w:pPr>
        <w:pStyle w:val="924"/>
        <w:ind w:left="0" w:firstLine="0"/>
      </w:pPr>
      <w:rPr>
        <w:rFonts w:hint="eastAsia"/>
      </w:rPr>
    </w:lvl>
    <w:lvl w:ilvl="5">
      <w:start w:val="1"/>
      <w:numFmt w:val="decimal"/>
      <w:pStyle w:val="930"/>
      <w:isLgl w:val="false"/>
      <w:suff w:val="nothing"/>
      <w:lvlText w:val=""/>
      <w:lvlJc w:val="left"/>
      <w:pPr>
        <w:pStyle w:val="924"/>
        <w:ind w:left="0" w:firstLine="0"/>
      </w:pPr>
      <w:rPr>
        <w:rFonts w:hint="eastAsia"/>
      </w:rPr>
    </w:lvl>
    <w:lvl w:ilvl="6">
      <w:start w:val="1"/>
      <w:numFmt w:val="decimal"/>
      <w:pStyle w:val="931"/>
      <w:isLgl w:val="false"/>
      <w:suff w:val="nothing"/>
      <w:lvlText w:val=""/>
      <w:lvlJc w:val="left"/>
      <w:pPr>
        <w:pStyle w:val="924"/>
        <w:ind w:left="0" w:firstLine="0"/>
      </w:pPr>
      <w:rPr>
        <w:rFonts w:hint="eastAsia"/>
      </w:rPr>
    </w:lvl>
    <w:lvl w:ilvl="7">
      <w:start w:val="1"/>
      <w:numFmt w:val="decimal"/>
      <w:pStyle w:val="932"/>
      <w:isLgl w:val="false"/>
      <w:suff w:val="nothing"/>
      <w:lvlText w:val=""/>
      <w:lvlJc w:val="left"/>
      <w:pPr>
        <w:pStyle w:val="924"/>
        <w:ind w:left="0" w:firstLine="0"/>
      </w:pPr>
      <w:rPr>
        <w:rFonts w:hint="eastAsia"/>
      </w:rPr>
    </w:lvl>
    <w:lvl w:ilvl="8">
      <w:start w:val="1"/>
      <w:numFmt w:val="decimal"/>
      <w:pStyle w:val="933"/>
      <w:isLgl w:val="false"/>
      <w:suff w:val="nothing"/>
      <w:lvlText w:val=""/>
      <w:lvlJc w:val="left"/>
      <w:pPr>
        <w:pStyle w:val="924"/>
        <w:ind w:left="0" w:firstLine="0"/>
      </w:pPr>
      <w:rPr>
        <w:rFonts w:hint="eastAsia"/>
      </w:rPr>
    </w:lvl>
  </w:abstractNum>
  <w:abstractNum w:abstractNumId="9">
    <w:multiLevelType w:val="hybridMultilevel"/>
    <w:lvl w:ilvl="0">
      <w:start w:val="1"/>
      <w:numFmt w:val="decimal"/>
      <w:isLgl w:val="false"/>
      <w:suff w:val="space"/>
      <w:lvlText w:val="%1."/>
      <w:lvlJc w:val="left"/>
      <w:pPr>
        <w:pStyle w:val="92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
  </w:num>
  <w:num w:numId="6">
    <w:abstractNumId w:val="5"/>
  </w:num>
  <w:num w:numId="7">
    <w:abstractNumId w:val="3"/>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name w:val="Heading 1"/>
    <w:basedOn w:val="924"/>
    <w:next w:val="924"/>
    <w:link w:val="747"/>
    <w:uiPriority w:val="9"/>
    <w:qFormat/>
    <w:pPr>
      <w:keepLines/>
      <w:keepNext/>
      <w:spacing w:before="480" w:after="200"/>
      <w:outlineLvl w:val="0"/>
    </w:pPr>
    <w:rPr>
      <w:rFonts w:ascii="Arial" w:hAnsi="Arial" w:eastAsia="Arial" w:cs="Arial"/>
      <w:sz w:val="40"/>
      <w:szCs w:val="40"/>
    </w:rPr>
  </w:style>
  <w:style w:type="character" w:styleId="747">
    <w:name w:val="Heading 1 Char"/>
    <w:link w:val="746"/>
    <w:uiPriority w:val="9"/>
    <w:rPr>
      <w:rFonts w:ascii="Arial" w:hAnsi="Arial" w:eastAsia="Arial" w:cs="Arial"/>
      <w:sz w:val="40"/>
      <w:szCs w:val="40"/>
    </w:rPr>
  </w:style>
  <w:style w:type="paragraph" w:styleId="748">
    <w:name w:val="Heading 2"/>
    <w:basedOn w:val="924"/>
    <w:next w:val="924"/>
    <w:link w:val="749"/>
    <w:uiPriority w:val="9"/>
    <w:unhideWhenUsed/>
    <w:qFormat/>
    <w:pPr>
      <w:keepLines/>
      <w:keepNext/>
      <w:spacing w:before="360" w:after="200"/>
      <w:outlineLvl w:val="1"/>
    </w:pPr>
    <w:rPr>
      <w:rFonts w:ascii="Arial" w:hAnsi="Arial" w:eastAsia="Arial" w:cs="Arial"/>
      <w:sz w:val="34"/>
    </w:rPr>
  </w:style>
  <w:style w:type="character" w:styleId="749">
    <w:name w:val="Heading 2 Char"/>
    <w:link w:val="748"/>
    <w:uiPriority w:val="9"/>
    <w:rPr>
      <w:rFonts w:ascii="Arial" w:hAnsi="Arial" w:eastAsia="Arial" w:cs="Arial"/>
      <w:sz w:val="34"/>
    </w:rPr>
  </w:style>
  <w:style w:type="paragraph" w:styleId="750">
    <w:name w:val="Heading 3"/>
    <w:basedOn w:val="924"/>
    <w:next w:val="924"/>
    <w:link w:val="751"/>
    <w:uiPriority w:val="9"/>
    <w:unhideWhenUsed/>
    <w:qFormat/>
    <w:pPr>
      <w:keepLines/>
      <w:keepNext/>
      <w:spacing w:before="320" w:after="200"/>
      <w:outlineLvl w:val="2"/>
    </w:pPr>
    <w:rPr>
      <w:rFonts w:ascii="Arial" w:hAnsi="Arial" w:eastAsia="Arial" w:cs="Arial"/>
      <w:sz w:val="30"/>
      <w:szCs w:val="30"/>
    </w:rPr>
  </w:style>
  <w:style w:type="character" w:styleId="751">
    <w:name w:val="Heading 3 Char"/>
    <w:link w:val="750"/>
    <w:uiPriority w:val="9"/>
    <w:rPr>
      <w:rFonts w:ascii="Arial" w:hAnsi="Arial" w:eastAsia="Arial" w:cs="Arial"/>
      <w:sz w:val="30"/>
      <w:szCs w:val="30"/>
    </w:rPr>
  </w:style>
  <w:style w:type="paragraph" w:styleId="752">
    <w:name w:val="Heading 4"/>
    <w:basedOn w:val="924"/>
    <w:next w:val="924"/>
    <w:link w:val="753"/>
    <w:uiPriority w:val="9"/>
    <w:unhideWhenUsed/>
    <w:qFormat/>
    <w:pPr>
      <w:keepLines/>
      <w:keepNext/>
      <w:spacing w:before="320" w:after="200"/>
      <w:outlineLvl w:val="3"/>
    </w:pPr>
    <w:rPr>
      <w:rFonts w:ascii="Arial" w:hAnsi="Arial" w:eastAsia="Arial" w:cs="Arial"/>
      <w:b/>
      <w:bCs/>
      <w:sz w:val="26"/>
      <w:szCs w:val="26"/>
    </w:rPr>
  </w:style>
  <w:style w:type="character" w:styleId="753">
    <w:name w:val="Heading 4 Char"/>
    <w:link w:val="752"/>
    <w:uiPriority w:val="9"/>
    <w:rPr>
      <w:rFonts w:ascii="Arial" w:hAnsi="Arial" w:eastAsia="Arial" w:cs="Arial"/>
      <w:b/>
      <w:bCs/>
      <w:sz w:val="26"/>
      <w:szCs w:val="26"/>
    </w:rPr>
  </w:style>
  <w:style w:type="paragraph" w:styleId="754">
    <w:name w:val="Heading 5"/>
    <w:basedOn w:val="924"/>
    <w:next w:val="924"/>
    <w:link w:val="755"/>
    <w:uiPriority w:val="9"/>
    <w:unhideWhenUsed/>
    <w:qFormat/>
    <w:pPr>
      <w:keepLines/>
      <w:keepNext/>
      <w:spacing w:before="320" w:after="200"/>
      <w:outlineLvl w:val="4"/>
    </w:pPr>
    <w:rPr>
      <w:rFonts w:ascii="Arial" w:hAnsi="Arial" w:eastAsia="Arial" w:cs="Arial"/>
      <w:b/>
      <w:bCs/>
      <w:sz w:val="24"/>
      <w:szCs w:val="24"/>
    </w:rPr>
  </w:style>
  <w:style w:type="character" w:styleId="755">
    <w:name w:val="Heading 5 Char"/>
    <w:link w:val="754"/>
    <w:uiPriority w:val="9"/>
    <w:rPr>
      <w:rFonts w:ascii="Arial" w:hAnsi="Arial" w:eastAsia="Arial" w:cs="Arial"/>
      <w:b/>
      <w:bCs/>
      <w:sz w:val="24"/>
      <w:szCs w:val="24"/>
    </w:rPr>
  </w:style>
  <w:style w:type="paragraph" w:styleId="756">
    <w:name w:val="Heading 6"/>
    <w:basedOn w:val="924"/>
    <w:next w:val="924"/>
    <w:link w:val="757"/>
    <w:uiPriority w:val="9"/>
    <w:unhideWhenUsed/>
    <w:qFormat/>
    <w:pPr>
      <w:keepLines/>
      <w:keepNext/>
      <w:spacing w:before="320" w:after="200"/>
      <w:outlineLvl w:val="5"/>
    </w:pPr>
    <w:rPr>
      <w:rFonts w:ascii="Arial" w:hAnsi="Arial" w:eastAsia="Arial" w:cs="Arial"/>
      <w:b/>
      <w:bCs/>
      <w:sz w:val="22"/>
      <w:szCs w:val="22"/>
    </w:rPr>
  </w:style>
  <w:style w:type="character" w:styleId="757">
    <w:name w:val="Heading 6 Char"/>
    <w:link w:val="756"/>
    <w:uiPriority w:val="9"/>
    <w:rPr>
      <w:rFonts w:ascii="Arial" w:hAnsi="Arial" w:eastAsia="Arial" w:cs="Arial"/>
      <w:b/>
      <w:bCs/>
      <w:sz w:val="22"/>
      <w:szCs w:val="22"/>
    </w:rPr>
  </w:style>
  <w:style w:type="paragraph" w:styleId="758">
    <w:name w:val="Heading 7"/>
    <w:basedOn w:val="924"/>
    <w:next w:val="924"/>
    <w:link w:val="759"/>
    <w:uiPriority w:val="9"/>
    <w:unhideWhenUsed/>
    <w:qFormat/>
    <w:pPr>
      <w:keepLines/>
      <w:keepNext/>
      <w:spacing w:before="320" w:after="200"/>
      <w:outlineLvl w:val="6"/>
    </w:pPr>
    <w:rPr>
      <w:rFonts w:ascii="Arial" w:hAnsi="Arial" w:eastAsia="Arial" w:cs="Arial"/>
      <w:b/>
      <w:bCs/>
      <w:i/>
      <w:iCs/>
      <w:sz w:val="22"/>
      <w:szCs w:val="22"/>
    </w:rPr>
  </w:style>
  <w:style w:type="character" w:styleId="759">
    <w:name w:val="Heading 7 Char"/>
    <w:link w:val="758"/>
    <w:uiPriority w:val="9"/>
    <w:rPr>
      <w:rFonts w:ascii="Arial" w:hAnsi="Arial" w:eastAsia="Arial" w:cs="Arial"/>
      <w:b/>
      <w:bCs/>
      <w:i/>
      <w:iCs/>
      <w:sz w:val="22"/>
      <w:szCs w:val="22"/>
    </w:rPr>
  </w:style>
  <w:style w:type="paragraph" w:styleId="760">
    <w:name w:val="Heading 8"/>
    <w:basedOn w:val="924"/>
    <w:next w:val="924"/>
    <w:link w:val="761"/>
    <w:uiPriority w:val="9"/>
    <w:unhideWhenUsed/>
    <w:qFormat/>
    <w:pPr>
      <w:keepLines/>
      <w:keepNext/>
      <w:spacing w:before="320" w:after="200"/>
      <w:outlineLvl w:val="7"/>
    </w:pPr>
    <w:rPr>
      <w:rFonts w:ascii="Arial" w:hAnsi="Arial" w:eastAsia="Arial" w:cs="Arial"/>
      <w:i/>
      <w:iCs/>
      <w:sz w:val="22"/>
      <w:szCs w:val="22"/>
    </w:rPr>
  </w:style>
  <w:style w:type="character" w:styleId="761">
    <w:name w:val="Heading 8 Char"/>
    <w:link w:val="760"/>
    <w:uiPriority w:val="9"/>
    <w:rPr>
      <w:rFonts w:ascii="Arial" w:hAnsi="Arial" w:eastAsia="Arial" w:cs="Arial"/>
      <w:i/>
      <w:iCs/>
      <w:sz w:val="22"/>
      <w:szCs w:val="22"/>
    </w:rPr>
  </w:style>
  <w:style w:type="paragraph" w:styleId="762">
    <w:name w:val="Heading 9"/>
    <w:basedOn w:val="924"/>
    <w:next w:val="924"/>
    <w:link w:val="763"/>
    <w:uiPriority w:val="9"/>
    <w:unhideWhenUsed/>
    <w:qFormat/>
    <w:pPr>
      <w:keepLines/>
      <w:keepNext/>
      <w:spacing w:before="320" w:after="200"/>
      <w:outlineLvl w:val="8"/>
    </w:pPr>
    <w:rPr>
      <w:rFonts w:ascii="Arial" w:hAnsi="Arial" w:eastAsia="Arial" w:cs="Arial"/>
      <w:i/>
      <w:iCs/>
      <w:sz w:val="21"/>
      <w:szCs w:val="21"/>
    </w:rPr>
  </w:style>
  <w:style w:type="character" w:styleId="763">
    <w:name w:val="Heading 9 Char"/>
    <w:link w:val="762"/>
    <w:uiPriority w:val="9"/>
    <w:rPr>
      <w:rFonts w:ascii="Arial" w:hAnsi="Arial" w:eastAsia="Arial" w:cs="Arial"/>
      <w:i/>
      <w:iCs/>
      <w:sz w:val="21"/>
      <w:szCs w:val="21"/>
    </w:rPr>
  </w:style>
  <w:style w:type="paragraph" w:styleId="764">
    <w:name w:val="List Paragraph"/>
    <w:basedOn w:val="924"/>
    <w:uiPriority w:val="34"/>
    <w:qFormat/>
    <w:pPr>
      <w:contextualSpacing/>
      <w:ind w:left="720"/>
    </w:pPr>
  </w:style>
  <w:style w:type="paragraph" w:styleId="765">
    <w:name w:val="No Spacing"/>
    <w:uiPriority w:val="1"/>
    <w:qFormat/>
    <w:pPr>
      <w:spacing w:before="0" w:after="0" w:line="240" w:lineRule="auto"/>
    </w:pPr>
  </w:style>
  <w:style w:type="paragraph" w:styleId="766">
    <w:name w:val="Title"/>
    <w:basedOn w:val="924"/>
    <w:next w:val="924"/>
    <w:link w:val="767"/>
    <w:uiPriority w:val="10"/>
    <w:qFormat/>
    <w:pPr>
      <w:contextualSpacing/>
      <w:spacing w:before="300" w:after="200"/>
    </w:pPr>
    <w:rPr>
      <w:sz w:val="48"/>
      <w:szCs w:val="48"/>
    </w:rPr>
  </w:style>
  <w:style w:type="character" w:styleId="767">
    <w:name w:val="Title Char"/>
    <w:link w:val="766"/>
    <w:uiPriority w:val="10"/>
    <w:rPr>
      <w:sz w:val="48"/>
      <w:szCs w:val="48"/>
    </w:rPr>
  </w:style>
  <w:style w:type="paragraph" w:styleId="768">
    <w:name w:val="Subtitle"/>
    <w:basedOn w:val="924"/>
    <w:next w:val="924"/>
    <w:link w:val="769"/>
    <w:uiPriority w:val="11"/>
    <w:qFormat/>
    <w:pPr>
      <w:spacing w:before="200" w:after="200"/>
    </w:pPr>
    <w:rPr>
      <w:sz w:val="24"/>
      <w:szCs w:val="24"/>
    </w:rPr>
  </w:style>
  <w:style w:type="character" w:styleId="769">
    <w:name w:val="Subtitle Char"/>
    <w:link w:val="768"/>
    <w:uiPriority w:val="11"/>
    <w:rPr>
      <w:sz w:val="24"/>
      <w:szCs w:val="24"/>
    </w:rPr>
  </w:style>
  <w:style w:type="paragraph" w:styleId="770">
    <w:name w:val="Quote"/>
    <w:basedOn w:val="924"/>
    <w:next w:val="924"/>
    <w:link w:val="771"/>
    <w:uiPriority w:val="29"/>
    <w:qFormat/>
    <w:pPr>
      <w:ind w:left="720" w:right="720"/>
    </w:pPr>
    <w:rPr>
      <w:i/>
    </w:rPr>
  </w:style>
  <w:style w:type="character" w:styleId="771">
    <w:name w:val="Quote Char"/>
    <w:link w:val="770"/>
    <w:uiPriority w:val="29"/>
    <w:rPr>
      <w:i/>
    </w:rPr>
  </w:style>
  <w:style w:type="paragraph" w:styleId="772">
    <w:name w:val="Intense Quote"/>
    <w:basedOn w:val="924"/>
    <w:next w:val="924"/>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paragraph" w:styleId="774">
    <w:name w:val="Header"/>
    <w:basedOn w:val="924"/>
    <w:link w:val="775"/>
    <w:uiPriority w:val="99"/>
    <w:unhideWhenUsed/>
    <w:pPr>
      <w:spacing w:after="0" w:line="240" w:lineRule="auto"/>
      <w:tabs>
        <w:tab w:val="center" w:pos="7143" w:leader="none"/>
        <w:tab w:val="right" w:pos="14287" w:leader="none"/>
      </w:tabs>
    </w:pPr>
  </w:style>
  <w:style w:type="character" w:styleId="775">
    <w:name w:val="Header Char"/>
    <w:link w:val="774"/>
    <w:uiPriority w:val="99"/>
  </w:style>
  <w:style w:type="paragraph" w:styleId="776">
    <w:name w:val="Footer"/>
    <w:basedOn w:val="924"/>
    <w:link w:val="779"/>
    <w:uiPriority w:val="99"/>
    <w:unhideWhenUsed/>
    <w:pPr>
      <w:spacing w:after="0" w:line="240" w:lineRule="auto"/>
      <w:tabs>
        <w:tab w:val="center" w:pos="7143" w:leader="none"/>
        <w:tab w:val="right" w:pos="14287" w:leader="none"/>
      </w:tabs>
    </w:pPr>
  </w:style>
  <w:style w:type="character" w:styleId="777">
    <w:name w:val="Footer Char"/>
    <w:link w:val="776"/>
    <w:uiPriority w:val="99"/>
  </w:style>
  <w:style w:type="paragraph" w:styleId="778">
    <w:name w:val="Caption"/>
    <w:basedOn w:val="924"/>
    <w:next w:val="924"/>
    <w:uiPriority w:val="35"/>
    <w:semiHidden/>
    <w:unhideWhenUsed/>
    <w:qFormat/>
    <w:pPr>
      <w:spacing w:line="276" w:lineRule="auto"/>
    </w:pPr>
    <w:rPr>
      <w:b/>
      <w:bCs/>
      <w:color w:val="4f81bd" w:themeColor="accent1"/>
      <w:sz w:val="18"/>
      <w:szCs w:val="18"/>
    </w:rPr>
  </w:style>
  <w:style w:type="character" w:styleId="779">
    <w:name w:val="Caption Char"/>
    <w:basedOn w:val="778"/>
    <w:link w:val="776"/>
    <w:uiPriority w:val="99"/>
  </w:style>
  <w:style w:type="table" w:styleId="7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6">
    <w:name w:val="Hyperlink"/>
    <w:uiPriority w:val="99"/>
    <w:unhideWhenUsed/>
    <w:rPr>
      <w:color w:val="0000ff" w:themeColor="hyperlink"/>
      <w:u w:val="single"/>
    </w:rPr>
  </w:style>
  <w:style w:type="paragraph" w:styleId="907">
    <w:name w:val="footnote text"/>
    <w:basedOn w:val="924"/>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uiPriority w:val="99"/>
    <w:unhideWhenUsed/>
    <w:rPr>
      <w:vertAlign w:val="superscript"/>
    </w:rPr>
  </w:style>
  <w:style w:type="paragraph" w:styleId="910">
    <w:name w:val="endnote text"/>
    <w:basedOn w:val="924"/>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uiPriority w:val="99"/>
    <w:semiHidden/>
    <w:unhideWhenUsed/>
    <w:rPr>
      <w:vertAlign w:val="superscript"/>
    </w:rPr>
  </w:style>
  <w:style w:type="paragraph" w:styleId="913">
    <w:name w:val="toc 1"/>
    <w:basedOn w:val="924"/>
    <w:next w:val="924"/>
    <w:uiPriority w:val="39"/>
    <w:unhideWhenUsed/>
    <w:pPr>
      <w:ind w:left="0" w:right="0" w:firstLine="0"/>
      <w:spacing w:after="57"/>
    </w:pPr>
  </w:style>
  <w:style w:type="paragraph" w:styleId="914">
    <w:name w:val="toc 2"/>
    <w:basedOn w:val="924"/>
    <w:next w:val="924"/>
    <w:uiPriority w:val="39"/>
    <w:unhideWhenUsed/>
    <w:pPr>
      <w:ind w:left="283" w:right="0" w:firstLine="0"/>
      <w:spacing w:after="57"/>
    </w:pPr>
  </w:style>
  <w:style w:type="paragraph" w:styleId="915">
    <w:name w:val="toc 3"/>
    <w:basedOn w:val="924"/>
    <w:next w:val="924"/>
    <w:uiPriority w:val="39"/>
    <w:unhideWhenUsed/>
    <w:pPr>
      <w:ind w:left="567" w:right="0" w:firstLine="0"/>
      <w:spacing w:after="57"/>
    </w:pPr>
  </w:style>
  <w:style w:type="paragraph" w:styleId="916">
    <w:name w:val="toc 4"/>
    <w:basedOn w:val="924"/>
    <w:next w:val="924"/>
    <w:uiPriority w:val="39"/>
    <w:unhideWhenUsed/>
    <w:pPr>
      <w:ind w:left="850" w:right="0" w:firstLine="0"/>
      <w:spacing w:after="57"/>
    </w:pPr>
  </w:style>
  <w:style w:type="paragraph" w:styleId="917">
    <w:name w:val="toc 5"/>
    <w:basedOn w:val="924"/>
    <w:next w:val="924"/>
    <w:uiPriority w:val="39"/>
    <w:unhideWhenUsed/>
    <w:pPr>
      <w:ind w:left="1134" w:right="0" w:firstLine="0"/>
      <w:spacing w:after="57"/>
    </w:pPr>
  </w:style>
  <w:style w:type="paragraph" w:styleId="918">
    <w:name w:val="toc 6"/>
    <w:basedOn w:val="924"/>
    <w:next w:val="924"/>
    <w:uiPriority w:val="39"/>
    <w:unhideWhenUsed/>
    <w:pPr>
      <w:ind w:left="1417" w:right="0" w:firstLine="0"/>
      <w:spacing w:after="57"/>
    </w:pPr>
  </w:style>
  <w:style w:type="paragraph" w:styleId="919">
    <w:name w:val="toc 7"/>
    <w:basedOn w:val="924"/>
    <w:next w:val="924"/>
    <w:uiPriority w:val="39"/>
    <w:unhideWhenUsed/>
    <w:pPr>
      <w:ind w:left="1701" w:right="0" w:firstLine="0"/>
      <w:spacing w:after="57"/>
    </w:pPr>
  </w:style>
  <w:style w:type="paragraph" w:styleId="920">
    <w:name w:val="toc 8"/>
    <w:basedOn w:val="924"/>
    <w:next w:val="924"/>
    <w:uiPriority w:val="39"/>
    <w:unhideWhenUsed/>
    <w:pPr>
      <w:ind w:left="1984" w:right="0" w:firstLine="0"/>
      <w:spacing w:after="57"/>
    </w:pPr>
  </w:style>
  <w:style w:type="paragraph" w:styleId="921">
    <w:name w:val="toc 9"/>
    <w:basedOn w:val="924"/>
    <w:next w:val="924"/>
    <w:uiPriority w:val="39"/>
    <w:unhideWhenUsed/>
    <w:pPr>
      <w:ind w:left="2268" w:right="0" w:firstLine="0"/>
      <w:spacing w:after="57"/>
    </w:pPr>
  </w:style>
  <w:style w:type="paragraph" w:styleId="922">
    <w:name w:val="TOC Heading"/>
    <w:uiPriority w:val="39"/>
    <w:unhideWhenUsed/>
  </w:style>
  <w:style w:type="paragraph" w:styleId="923">
    <w:name w:val="table of figures"/>
    <w:basedOn w:val="924"/>
    <w:next w:val="924"/>
    <w:uiPriority w:val="99"/>
    <w:unhideWhenUsed/>
    <w:pPr>
      <w:spacing w:after="0" w:afterAutospacing="0"/>
    </w:pPr>
  </w:style>
  <w:style w:type="paragraph" w:styleId="924" w:default="1">
    <w:name w:val="Normal"/>
    <w:next w:val="978"/>
    <w:link w:val="924"/>
    <w:qFormat/>
    <w:pPr>
      <w:jc w:val="both"/>
      <w:widowControl w:val="off"/>
    </w:pPr>
    <w:rPr>
      <w:sz w:val="21"/>
      <w:szCs w:val="22"/>
      <w:lang w:val="en-US" w:eastAsia="zh-CN" w:bidi="ar-SA"/>
    </w:rPr>
  </w:style>
  <w:style w:type="paragraph" w:styleId="925">
    <w:name w:val="标题 1"/>
    <w:basedOn w:val="924"/>
    <w:next w:val="924"/>
    <w:link w:val="947"/>
    <w:qFormat/>
    <w:pPr>
      <w:jc w:val="center"/>
      <w:keepNext/>
      <w:outlineLvl w:val="0"/>
    </w:pPr>
    <w:rPr>
      <w:rFonts w:ascii="楷体_GB2312" w:hAnsi="Times New Roman" w:eastAsia="楷体_GB2312" w:cs="Times New Roman"/>
      <w:sz w:val="28"/>
      <w:szCs w:val="28"/>
    </w:rPr>
  </w:style>
  <w:style w:type="paragraph" w:styleId="926">
    <w:name w:val="标题 2"/>
    <w:basedOn w:val="924"/>
    <w:next w:val="924"/>
    <w:link w:val="944"/>
    <w:qFormat/>
    <w:pPr>
      <w:jc w:val="center"/>
      <w:keepLines/>
      <w:keepNext/>
      <w:spacing w:before="260" w:after="260" w:line="416" w:lineRule="auto"/>
      <w:outlineLvl w:val="1"/>
    </w:pPr>
    <w:rPr>
      <w:rFonts w:ascii="Arial" w:hAnsi="Arial" w:eastAsia="幼圆" w:cs="Arial"/>
      <w:b/>
      <w:bCs/>
      <w:sz w:val="44"/>
      <w:szCs w:val="44"/>
    </w:rPr>
  </w:style>
  <w:style w:type="paragraph" w:styleId="927">
    <w:name w:val="标题 3"/>
    <w:basedOn w:val="924"/>
    <w:next w:val="973"/>
    <w:link w:val="97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28">
    <w:name w:val="标题 4"/>
    <w:basedOn w:val="924"/>
    <w:next w:val="973"/>
    <w:link w:val="959"/>
    <w:qFormat/>
    <w:pPr>
      <w:keepLines/>
      <w:keepNext/>
      <w:spacing w:before="280" w:after="290" w:line="376" w:lineRule="auto"/>
      <w:outlineLvl w:val="3"/>
    </w:pPr>
    <w:rPr>
      <w:rFonts w:ascii="Arial" w:hAnsi="Arial" w:eastAsia="黑体" w:cs="Arial"/>
      <w:b/>
      <w:bCs/>
      <w:sz w:val="28"/>
      <w:szCs w:val="28"/>
    </w:rPr>
  </w:style>
  <w:style w:type="paragraph" w:styleId="929">
    <w:name w:val="标题 5"/>
    <w:basedOn w:val="924"/>
    <w:next w:val="973"/>
    <w:link w:val="962"/>
    <w:qFormat/>
    <w:pPr>
      <w:keepNext/>
      <w:outlineLvl w:val="4"/>
    </w:pPr>
    <w:rPr>
      <w:rFonts w:ascii="宋体" w:hAnsi="Times New Roman" w:eastAsia="宋体" w:cs="Times New Roman"/>
      <w:color w:val="000000"/>
      <w:sz w:val="28"/>
      <w:szCs w:val="28"/>
    </w:rPr>
  </w:style>
  <w:style w:type="paragraph" w:styleId="930">
    <w:name w:val="标题 6"/>
    <w:basedOn w:val="924"/>
    <w:next w:val="924"/>
    <w:link w:val="95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1">
    <w:name w:val="标题 7"/>
    <w:basedOn w:val="924"/>
    <w:next w:val="924"/>
    <w:link w:val="95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2">
    <w:name w:val="标题 8"/>
    <w:basedOn w:val="924"/>
    <w:next w:val="924"/>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3">
    <w:name w:val="标题 9"/>
    <w:basedOn w:val="924"/>
    <w:next w:val="924"/>
    <w:link w:val="950"/>
    <w:qFormat/>
    <w:pPr>
      <w:numPr>
        <w:ilvl w:val="8"/>
        <w:numId w:val="1"/>
      </w:numPr>
      <w:keepLines/>
      <w:keepNext/>
      <w:spacing w:before="240" w:after="64" w:line="320" w:lineRule="auto"/>
      <w:outlineLvl w:val="8"/>
    </w:pPr>
    <w:rPr>
      <w:rFonts w:ascii="Arial" w:hAnsi="Arial" w:eastAsia="黑体" w:cs="Times New Roman"/>
      <w:szCs w:val="21"/>
    </w:rPr>
  </w:style>
  <w:style w:type="character" w:styleId="934">
    <w:name w:val="默认段落字体"/>
    <w:next w:val="934"/>
    <w:link w:val="924"/>
    <w:uiPriority w:val="1"/>
    <w:unhideWhenUsed/>
  </w:style>
  <w:style w:type="table" w:styleId="935">
    <w:name w:val="普通表格"/>
    <w:next w:val="935"/>
    <w:link w:val="924"/>
    <w:uiPriority w:val="99"/>
    <w:unhideWhenUsed/>
    <w:tblPr/>
  </w:style>
  <w:style w:type="character" w:styleId="936">
    <w:name w:val="font21"/>
    <w:basedOn w:val="934"/>
    <w:next w:val="936"/>
    <w:link w:val="924"/>
    <w:qFormat/>
    <w:rPr>
      <w:rFonts w:hint="eastAsia" w:ascii="宋体" w:hAnsi="宋体" w:eastAsia="宋体" w:cs="宋体"/>
      <w:color w:val="000000"/>
      <w:sz w:val="24"/>
      <w:szCs w:val="24"/>
      <w:u w:val="none"/>
    </w:rPr>
  </w:style>
  <w:style w:type="character" w:styleId="937">
    <w:name w:val="font01"/>
    <w:basedOn w:val="934"/>
    <w:next w:val="937"/>
    <w:link w:val="924"/>
    <w:qFormat/>
    <w:rPr>
      <w:rFonts w:hint="eastAsia" w:ascii="宋体" w:hAnsi="宋体" w:eastAsia="宋体" w:cs="宋体"/>
      <w:color w:val="000000"/>
      <w:sz w:val="24"/>
      <w:szCs w:val="24"/>
      <w:u w:val="none"/>
    </w:rPr>
  </w:style>
  <w:style w:type="character" w:styleId="938">
    <w:name w:val="要点"/>
    <w:basedOn w:val="934"/>
    <w:next w:val="938"/>
    <w:link w:val="924"/>
    <w:qFormat/>
    <w:rPr>
      <w:b/>
      <w:bCs/>
    </w:rPr>
  </w:style>
  <w:style w:type="character" w:styleId="939">
    <w:name w:val="页码"/>
    <w:next w:val="939"/>
    <w:link w:val="924"/>
  </w:style>
  <w:style w:type="character" w:styleId="940">
    <w:name w:val="批注引用"/>
    <w:next w:val="940"/>
    <w:link w:val="924"/>
    <w:semiHidden/>
    <w:rPr>
      <w:sz w:val="21"/>
      <w:szCs w:val="21"/>
    </w:rPr>
  </w:style>
  <w:style w:type="character" w:styleId="941">
    <w:name w:val="已访问的超链接"/>
    <w:next w:val="941"/>
    <w:link w:val="924"/>
    <w:rPr>
      <w:color w:val="800080"/>
      <w:u w:val="single"/>
    </w:rPr>
  </w:style>
  <w:style w:type="character" w:styleId="942">
    <w:name w:val="强调"/>
    <w:basedOn w:val="934"/>
    <w:next w:val="942"/>
    <w:link w:val="924"/>
    <w:qFormat/>
    <w:rPr>
      <w:i/>
    </w:rPr>
  </w:style>
  <w:style w:type="character" w:styleId="943">
    <w:name w:val="超链接"/>
    <w:next w:val="943"/>
    <w:link w:val="924"/>
    <w:rPr>
      <w:color w:val="0000ff"/>
      <w:u w:val="single"/>
    </w:rPr>
  </w:style>
  <w:style w:type="character" w:styleId="944">
    <w:name w:val="标题 2 Char"/>
    <w:next w:val="944"/>
    <w:link w:val="926"/>
    <w:rPr>
      <w:rFonts w:ascii="Arial" w:hAnsi="Arial" w:eastAsia="幼圆" w:cs="Arial"/>
      <w:b/>
      <w:bCs/>
      <w:sz w:val="44"/>
      <w:szCs w:val="44"/>
    </w:rPr>
  </w:style>
  <w:style w:type="character" w:styleId="945">
    <w:name w:val="正文文本缩进 3 Char"/>
    <w:next w:val="945"/>
    <w:link w:val="997"/>
    <w:rPr>
      <w:rFonts w:ascii="Arial" w:hAnsi="Arial" w:eastAsia="仿宋_GB2312" w:cs="Arial"/>
      <w:color w:val="ffff00"/>
      <w:sz w:val="32"/>
      <w:szCs w:val="32"/>
    </w:rPr>
  </w:style>
  <w:style w:type="character" w:styleId="946">
    <w:name w:val="正文文本 Char"/>
    <w:next w:val="946"/>
    <w:link w:val="989"/>
    <w:rPr>
      <w:rFonts w:ascii="楷体_GB2312" w:hAnsi="Arial" w:eastAsia="楷体_GB2312" w:cs="Times New Roman"/>
      <w:sz w:val="28"/>
      <w:szCs w:val="28"/>
    </w:rPr>
  </w:style>
  <w:style w:type="character" w:styleId="947">
    <w:name w:val="标题 1 Char"/>
    <w:next w:val="947"/>
    <w:link w:val="925"/>
    <w:rPr>
      <w:rFonts w:ascii="楷体_GB2312" w:hAnsi="Times New Roman" w:eastAsia="楷体_GB2312" w:cs="Times New Roman"/>
      <w:sz w:val="28"/>
      <w:szCs w:val="28"/>
    </w:rPr>
  </w:style>
  <w:style w:type="character" w:styleId="948">
    <w:name w:val="页脚 Char"/>
    <w:next w:val="948"/>
    <w:link w:val="1005"/>
    <w:uiPriority w:val="99"/>
    <w:rPr>
      <w:rFonts w:ascii="Times New Roman" w:hAnsi="Times New Roman" w:eastAsia="宋体" w:cs="Times New Roman"/>
      <w:sz w:val="18"/>
      <w:szCs w:val="18"/>
    </w:rPr>
  </w:style>
  <w:style w:type="character" w:styleId="949">
    <w:name w:val="批注框文本 Char"/>
    <w:next w:val="949"/>
    <w:link w:val="1000"/>
    <w:semiHidden/>
    <w:rPr>
      <w:rFonts w:ascii="Times New Roman" w:hAnsi="Times New Roman" w:eastAsia="宋体" w:cs="Times New Roman"/>
      <w:sz w:val="18"/>
      <w:szCs w:val="18"/>
    </w:rPr>
  </w:style>
  <w:style w:type="character" w:styleId="950">
    <w:name w:val="标题 9 Char"/>
    <w:next w:val="950"/>
    <w:link w:val="933"/>
    <w:rPr>
      <w:rFonts w:ascii="Arial" w:hAnsi="Arial" w:eastAsia="黑体" w:cs="Times New Roman"/>
      <w:szCs w:val="21"/>
    </w:rPr>
  </w:style>
  <w:style w:type="character" w:styleId="951">
    <w:name w:val="批注文字 Char"/>
    <w:next w:val="951"/>
    <w:link w:val="985"/>
    <w:uiPriority w:val="99"/>
    <w:semiHidden/>
  </w:style>
  <w:style w:type="character" w:styleId="952">
    <w:name w:val="纯文本 Char"/>
    <w:next w:val="952"/>
    <w:link w:val="993"/>
    <w:rPr>
      <w:rFonts w:ascii="宋体" w:hAnsi="Courier New" w:eastAsia="宋体" w:cs="Courier New"/>
      <w:szCs w:val="21"/>
    </w:rPr>
  </w:style>
  <w:style w:type="character" w:styleId="953">
    <w:name w:val="正文首行缩进 Char"/>
    <w:next w:val="953"/>
    <w:link w:val="1002"/>
    <w:rPr>
      <w:rFonts w:ascii="仿宋_GB2312" w:hAnsi="Times New Roman" w:eastAsia="仿宋_GB2312" w:cs="Times New Roman"/>
      <w:sz w:val="30"/>
      <w:szCs w:val="30"/>
    </w:rPr>
  </w:style>
  <w:style w:type="character" w:styleId="954">
    <w:name w:val="标题 8 Char"/>
    <w:next w:val="954"/>
    <w:link w:val="932"/>
    <w:rPr>
      <w:rFonts w:ascii="Arial" w:hAnsi="Arial" w:eastAsia="黑体" w:cs="Times New Roman"/>
      <w:sz w:val="24"/>
      <w:szCs w:val="24"/>
    </w:rPr>
  </w:style>
  <w:style w:type="character" w:styleId="955">
    <w:name w:val="正文文本 2 Char"/>
    <w:next w:val="955"/>
    <w:link w:val="987"/>
    <w:rPr>
      <w:rFonts w:ascii="楷体_GB2312" w:hAnsi="Times New Roman" w:eastAsia="楷体_GB2312" w:cs="Times New Roman"/>
      <w:sz w:val="28"/>
      <w:szCs w:val="28"/>
    </w:rPr>
  </w:style>
  <w:style w:type="character" w:styleId="956">
    <w:name w:val="列出段落 Char,Bullet List Char,numbered Char,FooterText Char,List Paragraph1 Char,Paragraphe de liste1 Char"/>
    <w:next w:val="956"/>
    <w:link w:val="1026"/>
    <w:rPr>
      <w:rFonts w:ascii="Calibri" w:hAnsi="Calibri"/>
      <w:sz w:val="24"/>
      <w:szCs w:val="24"/>
      <w:lang w:eastAsia="en-US" w:bidi="en-US"/>
    </w:rPr>
  </w:style>
  <w:style w:type="character" w:styleId="957">
    <w:name w:val="标题 6 Char"/>
    <w:next w:val="957"/>
    <w:link w:val="930"/>
    <w:rPr>
      <w:rFonts w:ascii="Arial" w:hAnsi="Arial" w:eastAsia="黑体" w:cs="Times New Roman"/>
      <w:b/>
      <w:bCs/>
      <w:sz w:val="24"/>
      <w:szCs w:val="24"/>
    </w:rPr>
  </w:style>
  <w:style w:type="character" w:styleId="958">
    <w:name w:val="标题 7 Char"/>
    <w:next w:val="958"/>
    <w:link w:val="931"/>
    <w:rPr>
      <w:rFonts w:ascii="Times New Roman" w:hAnsi="Times New Roman" w:eastAsia="宋体" w:cs="Times New Roman"/>
      <w:b/>
      <w:bCs/>
      <w:sz w:val="24"/>
      <w:szCs w:val="24"/>
    </w:rPr>
  </w:style>
  <w:style w:type="character" w:styleId="959">
    <w:name w:val="标题 4 Char"/>
    <w:next w:val="959"/>
    <w:link w:val="928"/>
    <w:rPr>
      <w:rFonts w:ascii="Arial" w:hAnsi="Arial" w:eastAsia="黑体" w:cs="Arial"/>
      <w:b/>
      <w:bCs/>
      <w:sz w:val="28"/>
      <w:szCs w:val="28"/>
    </w:rPr>
  </w:style>
  <w:style w:type="character" w:styleId="960">
    <w:name w:val="正文首行缩进 2 Char"/>
    <w:next w:val="960"/>
    <w:link w:val="995"/>
    <w:rPr>
      <w:rFonts w:ascii="宋体" w:hAnsi="宋体" w:eastAsia="宋体" w:cs="Times New Roman"/>
      <w:szCs w:val="20"/>
    </w:rPr>
  </w:style>
  <w:style w:type="character" w:styleId="961">
    <w:name w:val="正文文本 3 Char"/>
    <w:next w:val="961"/>
    <w:link w:val="977"/>
    <w:rPr>
      <w:rFonts w:ascii="仿宋_GB2312" w:hAnsi="Arial" w:eastAsia="仿宋_GB2312" w:cs="Times New Roman"/>
      <w:sz w:val="32"/>
      <w:szCs w:val="32"/>
    </w:rPr>
  </w:style>
  <w:style w:type="character" w:styleId="962">
    <w:name w:val="标题 5 Char"/>
    <w:next w:val="962"/>
    <w:link w:val="929"/>
    <w:rPr>
      <w:rFonts w:ascii="宋体" w:hAnsi="Times New Roman" w:eastAsia="宋体" w:cs="Times New Roman"/>
      <w:color w:val="000000"/>
      <w:sz w:val="28"/>
      <w:szCs w:val="28"/>
    </w:rPr>
  </w:style>
  <w:style w:type="character" w:styleId="963">
    <w:name w:val="二级目录 Char"/>
    <w:next w:val="963"/>
    <w:link w:val="1015"/>
    <w:rPr>
      <w:b/>
      <w:sz w:val="30"/>
      <w:szCs w:val="28"/>
    </w:rPr>
  </w:style>
  <w:style w:type="character" w:styleId="964">
    <w:name w:val="文档结构图 Char"/>
    <w:next w:val="964"/>
    <w:link w:val="979"/>
    <w:semiHidden/>
    <w:rPr>
      <w:rFonts w:ascii="Times New Roman" w:hAnsi="Times New Roman" w:eastAsia="宋体" w:cs="Times New Roman"/>
      <w:szCs w:val="21"/>
      <w:shd w:val="clear" w:color="auto" w:fill="000080"/>
    </w:rPr>
  </w:style>
  <w:style w:type="character" w:styleId="965">
    <w:name w:val="批注主题 Char"/>
    <w:next w:val="965"/>
    <w:link w:val="992"/>
    <w:semiHidden/>
    <w:rPr>
      <w:rFonts w:ascii="Times New Roman" w:hAnsi="Times New Roman" w:eastAsia="宋体" w:cs="Times New Roman"/>
      <w:b/>
      <w:bCs/>
      <w:szCs w:val="21"/>
    </w:rPr>
  </w:style>
  <w:style w:type="character" w:styleId="966">
    <w:name w:val="页眉 Char"/>
    <w:next w:val="966"/>
    <w:link w:val="1001"/>
    <w:rPr>
      <w:rFonts w:ascii="Times New Roman" w:hAnsi="Times New Roman" w:eastAsia="宋体" w:cs="Times New Roman"/>
      <w:sz w:val="18"/>
      <w:szCs w:val="18"/>
    </w:rPr>
  </w:style>
  <w:style w:type="character" w:styleId="967">
    <w:name w:val="font5 Char"/>
    <w:next w:val="967"/>
    <w:link w:val="924"/>
    <w:rPr>
      <w:rFonts w:ascii="宋体" w:hAnsi="宋体" w:eastAsia="宋体"/>
      <w:sz w:val="28"/>
      <w:szCs w:val="28"/>
      <w:lang w:val="en-US" w:eastAsia="zh-CN" w:bidi="ar-SA"/>
    </w:rPr>
  </w:style>
  <w:style w:type="character" w:styleId="968">
    <w:name w:val="日期 Char"/>
    <w:next w:val="968"/>
    <w:link w:val="975"/>
    <w:rPr>
      <w:rFonts w:ascii="Times New Roman" w:hAnsi="Times New Roman" w:eastAsia="宋体" w:cs="Times New Roman"/>
      <w:sz w:val="24"/>
      <w:szCs w:val="24"/>
    </w:rPr>
  </w:style>
  <w:style w:type="character" w:styleId="969">
    <w:name w:val="正文文本缩进 2 Char"/>
    <w:next w:val="969"/>
    <w:link w:val="998"/>
    <w:rPr>
      <w:rFonts w:ascii="Arial" w:hAnsi="Arial" w:eastAsia="仿宋_GB2312" w:cs="Arial"/>
      <w:sz w:val="32"/>
      <w:szCs w:val="32"/>
    </w:rPr>
  </w:style>
  <w:style w:type="character" w:styleId="970">
    <w:name w:val="标题 3 Char"/>
    <w:next w:val="970"/>
    <w:link w:val="927"/>
    <w:rPr>
      <w:rFonts w:ascii="Times New Roman" w:hAnsi="Times New Roman" w:eastAsia="宋体" w:cs="Times New Roman"/>
      <w:b/>
      <w:bCs/>
      <w:sz w:val="32"/>
      <w:szCs w:val="32"/>
    </w:rPr>
  </w:style>
  <w:style w:type="character" w:styleId="971">
    <w:name w:val="正文缩进 Char"/>
    <w:next w:val="971"/>
    <w:link w:val="973"/>
    <w:rPr>
      <w:szCs w:val="21"/>
    </w:rPr>
  </w:style>
  <w:style w:type="character" w:styleId="972">
    <w:name w:val="正文文本缩进 Char"/>
    <w:next w:val="972"/>
    <w:link w:val="990"/>
    <w:uiPriority w:val="99"/>
    <w:semiHidden/>
  </w:style>
  <w:style w:type="paragraph" w:styleId="973">
    <w:name w:val="正文缩进"/>
    <w:basedOn w:val="924"/>
    <w:next w:val="973"/>
    <w:link w:val="971"/>
    <w:pPr>
      <w:ind w:firstLine="420"/>
    </w:pPr>
    <w:rPr>
      <w:szCs w:val="21"/>
    </w:rPr>
  </w:style>
  <w:style w:type="paragraph" w:styleId="974">
    <w:name w:val="目录 2"/>
    <w:basedOn w:val="924"/>
    <w:next w:val="924"/>
    <w:link w:val="924"/>
    <w:semiHidden/>
    <w:pPr>
      <w:ind w:left="210"/>
      <w:jc w:val="left"/>
    </w:pPr>
    <w:rPr>
      <w:rFonts w:ascii="Times New Roman" w:hAnsi="Times New Roman" w:eastAsia="宋体" w:cs="Times New Roman"/>
      <w:smallCaps/>
      <w:szCs w:val="24"/>
    </w:rPr>
  </w:style>
  <w:style w:type="paragraph" w:styleId="975">
    <w:name w:val="日期"/>
    <w:basedOn w:val="924"/>
    <w:next w:val="924"/>
    <w:link w:val="968"/>
    <w:rPr>
      <w:rFonts w:ascii="Times New Roman" w:hAnsi="Times New Roman" w:eastAsia="宋体" w:cs="Times New Roman"/>
      <w:sz w:val="24"/>
      <w:szCs w:val="24"/>
    </w:rPr>
  </w:style>
  <w:style w:type="paragraph" w:styleId="976">
    <w:name w:val="目录 8"/>
    <w:basedOn w:val="924"/>
    <w:next w:val="924"/>
    <w:link w:val="924"/>
    <w:semiHidden/>
    <w:pPr>
      <w:ind w:left="1470"/>
      <w:jc w:val="left"/>
    </w:pPr>
    <w:rPr>
      <w:rFonts w:ascii="Times New Roman" w:hAnsi="Times New Roman" w:eastAsia="宋体" w:cs="Times New Roman"/>
      <w:szCs w:val="21"/>
    </w:rPr>
  </w:style>
  <w:style w:type="paragraph" w:styleId="977">
    <w:name w:val="正文文本 3"/>
    <w:basedOn w:val="924"/>
    <w:next w:val="977"/>
    <w:link w:val="961"/>
    <w:rPr>
      <w:rFonts w:ascii="仿宋_GB2312" w:hAnsi="Arial" w:eastAsia="仿宋_GB2312" w:cs="Times New Roman"/>
      <w:sz w:val="32"/>
      <w:szCs w:val="32"/>
    </w:rPr>
  </w:style>
  <w:style w:type="paragraph" w:styleId="978">
    <w:name w:val="索引 41"/>
    <w:basedOn w:val="924"/>
    <w:next w:val="924"/>
    <w:link w:val="924"/>
    <w:semiHidden/>
    <w:qFormat/>
    <w:pPr>
      <w:ind w:left="1260"/>
    </w:pPr>
  </w:style>
  <w:style w:type="paragraph" w:styleId="979">
    <w:name w:val="文档结构图"/>
    <w:basedOn w:val="924"/>
    <w:next w:val="979"/>
    <w:link w:val="964"/>
    <w:semiHidden/>
    <w:pPr>
      <w:shd w:val="clear" w:color="auto" w:fill="000080"/>
    </w:pPr>
    <w:rPr>
      <w:rFonts w:ascii="Times New Roman" w:hAnsi="Times New Roman" w:eastAsia="宋体" w:cs="Times New Roman"/>
      <w:szCs w:val="21"/>
    </w:rPr>
  </w:style>
  <w:style w:type="paragraph" w:styleId="980">
    <w:name w:val="列表 3"/>
    <w:basedOn w:val="924"/>
    <w:next w:val="980"/>
    <w:link w:val="924"/>
    <w:pPr>
      <w:ind w:left="100" w:hanging="200"/>
    </w:pPr>
    <w:rPr>
      <w:rFonts w:ascii="Times New Roman" w:hAnsi="Times New Roman" w:eastAsia="宋体" w:cs="Times New Roman"/>
      <w:szCs w:val="21"/>
    </w:rPr>
  </w:style>
  <w:style w:type="paragraph" w:styleId="981">
    <w:name w:val="目录 7"/>
    <w:basedOn w:val="924"/>
    <w:next w:val="924"/>
    <w:link w:val="924"/>
    <w:semiHidden/>
    <w:pPr>
      <w:ind w:left="1260"/>
      <w:jc w:val="left"/>
    </w:pPr>
    <w:rPr>
      <w:rFonts w:ascii="Times New Roman" w:hAnsi="Times New Roman" w:eastAsia="宋体" w:cs="Times New Roman"/>
      <w:szCs w:val="21"/>
    </w:rPr>
  </w:style>
  <w:style w:type="paragraph" w:styleId="982">
    <w:name w:val="目录 6"/>
    <w:basedOn w:val="924"/>
    <w:next w:val="924"/>
    <w:link w:val="924"/>
    <w:semiHidden/>
    <w:pPr>
      <w:ind w:left="1050"/>
      <w:jc w:val="left"/>
    </w:pPr>
    <w:rPr>
      <w:rFonts w:ascii="Times New Roman" w:hAnsi="Times New Roman" w:eastAsia="宋体" w:cs="Times New Roman"/>
      <w:szCs w:val="21"/>
    </w:rPr>
  </w:style>
  <w:style w:type="paragraph" w:styleId="983">
    <w:name w:val="目录 5"/>
    <w:basedOn w:val="924"/>
    <w:next w:val="924"/>
    <w:link w:val="924"/>
    <w:semiHidden/>
    <w:pPr>
      <w:ind w:left="840"/>
      <w:jc w:val="left"/>
    </w:pPr>
    <w:rPr>
      <w:rFonts w:ascii="Times New Roman" w:hAnsi="Times New Roman" w:eastAsia="宋体" w:cs="Times New Roman"/>
      <w:szCs w:val="21"/>
    </w:rPr>
  </w:style>
  <w:style w:type="paragraph" w:styleId="984">
    <w:name w:val="列表 2"/>
    <w:basedOn w:val="924"/>
    <w:next w:val="984"/>
    <w:link w:val="924"/>
    <w:pPr>
      <w:ind w:left="100" w:hanging="200"/>
    </w:pPr>
    <w:rPr>
      <w:rFonts w:ascii="Times New Roman" w:hAnsi="Times New Roman" w:eastAsia="宋体" w:cs="Times New Roman"/>
      <w:szCs w:val="21"/>
    </w:rPr>
  </w:style>
  <w:style w:type="paragraph" w:styleId="985">
    <w:name w:val="批注文字"/>
    <w:basedOn w:val="924"/>
    <w:next w:val="985"/>
    <w:link w:val="951"/>
    <w:unhideWhenUsed/>
    <w:pPr>
      <w:jc w:val="left"/>
    </w:pPr>
  </w:style>
  <w:style w:type="paragraph" w:styleId="986">
    <w:name w:val="目录 9"/>
    <w:basedOn w:val="924"/>
    <w:next w:val="924"/>
    <w:link w:val="924"/>
    <w:semiHidden/>
    <w:pPr>
      <w:ind w:left="1680"/>
      <w:jc w:val="left"/>
    </w:pPr>
    <w:rPr>
      <w:rFonts w:ascii="Times New Roman" w:hAnsi="Times New Roman" w:eastAsia="宋体" w:cs="Times New Roman"/>
      <w:szCs w:val="21"/>
    </w:rPr>
  </w:style>
  <w:style w:type="paragraph" w:styleId="987">
    <w:name w:val="正文文本 2"/>
    <w:basedOn w:val="924"/>
    <w:next w:val="987"/>
    <w:link w:val="955"/>
    <w:pPr>
      <w:jc w:val="center"/>
      <w:widowControl/>
    </w:pPr>
    <w:rPr>
      <w:rFonts w:ascii="楷体_GB2312" w:hAnsi="Times New Roman" w:eastAsia="楷体_GB2312" w:cs="Times New Roman"/>
      <w:sz w:val="28"/>
      <w:szCs w:val="28"/>
    </w:rPr>
  </w:style>
  <w:style w:type="paragraph" w:styleId="988">
    <w:name w:val="目录 1"/>
    <w:basedOn w:val="924"/>
    <w:next w:val="924"/>
    <w:link w:val="92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9">
    <w:name w:val="正文文本"/>
    <w:basedOn w:val="924"/>
    <w:next w:val="924"/>
    <w:link w:val="946"/>
    <w:rPr>
      <w:rFonts w:ascii="楷体_GB2312" w:hAnsi="Arial" w:eastAsia="楷体_GB2312" w:cs="Times New Roman"/>
      <w:sz w:val="28"/>
      <w:szCs w:val="28"/>
    </w:rPr>
  </w:style>
  <w:style w:type="paragraph" w:styleId="990">
    <w:name w:val="正文文本缩进"/>
    <w:basedOn w:val="924"/>
    <w:next w:val="990"/>
    <w:link w:val="972"/>
    <w:unhideWhenUsed/>
    <w:pPr>
      <w:ind w:left="420"/>
      <w:spacing w:after="120"/>
    </w:pPr>
  </w:style>
  <w:style w:type="paragraph" w:styleId="991">
    <w:name w:val="索引 1"/>
    <w:basedOn w:val="924"/>
    <w:next w:val="924"/>
    <w:link w:val="924"/>
    <w:semiHidden/>
    <w:pPr>
      <w:spacing w:line="240" w:lineRule="atLeast"/>
    </w:pPr>
    <w:rPr>
      <w:rFonts w:ascii="Times New Roman" w:hAnsi="Times New Roman" w:eastAsia="宋体" w:cs="Times New Roman"/>
      <w:b/>
      <w:bCs/>
      <w:szCs w:val="21"/>
    </w:rPr>
  </w:style>
  <w:style w:type="paragraph" w:styleId="992">
    <w:name w:val="批注主题"/>
    <w:basedOn w:val="985"/>
    <w:next w:val="985"/>
    <w:link w:val="965"/>
    <w:semiHidden/>
    <w:rPr>
      <w:rFonts w:ascii="Times New Roman" w:hAnsi="Times New Roman" w:eastAsia="宋体" w:cs="Times New Roman"/>
      <w:b/>
      <w:bCs/>
      <w:szCs w:val="21"/>
    </w:rPr>
  </w:style>
  <w:style w:type="paragraph" w:styleId="993">
    <w:name w:val="纯文本"/>
    <w:basedOn w:val="924"/>
    <w:next w:val="993"/>
    <w:link w:val="952"/>
    <w:qFormat/>
    <w:rPr>
      <w:rFonts w:ascii="宋体" w:hAnsi="Courier New" w:eastAsia="宋体" w:cs="Courier New"/>
      <w:szCs w:val="21"/>
    </w:rPr>
  </w:style>
  <w:style w:type="paragraph" w:styleId="994">
    <w:name w:val="目录 3"/>
    <w:basedOn w:val="924"/>
    <w:next w:val="924"/>
    <w:link w:val="924"/>
    <w:semiHidden/>
    <w:pPr>
      <w:ind w:left="420"/>
      <w:jc w:val="left"/>
    </w:pPr>
    <w:rPr>
      <w:rFonts w:ascii="Times New Roman" w:hAnsi="Times New Roman" w:eastAsia="宋体" w:cs="Times New Roman"/>
      <w:i/>
      <w:iCs/>
      <w:szCs w:val="24"/>
    </w:rPr>
  </w:style>
  <w:style w:type="paragraph" w:styleId="995">
    <w:name w:val="正文首行缩进 2"/>
    <w:basedOn w:val="990"/>
    <w:next w:val="995"/>
    <w:link w:val="960"/>
    <w:pPr>
      <w:ind w:left="0" w:firstLine="420"/>
      <w:spacing w:after="0" w:line="360" w:lineRule="auto"/>
    </w:pPr>
    <w:rPr>
      <w:rFonts w:ascii="宋体" w:hAnsi="宋体" w:eastAsia="宋体" w:cs="Times New Roman"/>
      <w:szCs w:val="20"/>
    </w:rPr>
  </w:style>
  <w:style w:type="paragraph" w:styleId="996">
    <w:name w:val="图表目录"/>
    <w:basedOn w:val="924"/>
    <w:next w:val="924"/>
    <w:link w:val="924"/>
    <w:semiHidden/>
    <w:pPr>
      <w:ind w:left="840" w:hanging="420"/>
    </w:pPr>
    <w:rPr>
      <w:rFonts w:ascii="Times New Roman" w:hAnsi="Times New Roman" w:eastAsia="宋体" w:cs="Times New Roman"/>
      <w:szCs w:val="21"/>
    </w:rPr>
  </w:style>
  <w:style w:type="paragraph" w:styleId="997">
    <w:name w:val="正文文本缩进 3"/>
    <w:basedOn w:val="924"/>
    <w:next w:val="997"/>
    <w:link w:val="945"/>
    <w:pPr>
      <w:ind w:left="645" w:firstLine="645"/>
    </w:pPr>
    <w:rPr>
      <w:rFonts w:ascii="Arial" w:hAnsi="Arial" w:eastAsia="仿宋_GB2312" w:cs="Arial"/>
      <w:color w:val="ffff00"/>
      <w:sz w:val="32"/>
      <w:szCs w:val="32"/>
    </w:rPr>
  </w:style>
  <w:style w:type="paragraph" w:styleId="998">
    <w:name w:val="正文文本缩进 2"/>
    <w:basedOn w:val="924"/>
    <w:next w:val="998"/>
    <w:link w:val="969"/>
    <w:pPr>
      <w:ind w:left="630" w:firstLine="645"/>
    </w:pPr>
    <w:rPr>
      <w:rFonts w:ascii="Arial" w:hAnsi="Arial" w:eastAsia="仿宋_GB2312" w:cs="Arial"/>
      <w:sz w:val="32"/>
      <w:szCs w:val="32"/>
    </w:rPr>
  </w:style>
  <w:style w:type="paragraph" w:styleId="999">
    <w:name w:val="目录 4"/>
    <w:basedOn w:val="924"/>
    <w:next w:val="924"/>
    <w:link w:val="924"/>
    <w:semiHidden/>
    <w:pPr>
      <w:ind w:left="630"/>
      <w:jc w:val="left"/>
    </w:pPr>
    <w:rPr>
      <w:rFonts w:ascii="Times New Roman" w:hAnsi="Times New Roman" w:eastAsia="宋体" w:cs="Times New Roman"/>
      <w:szCs w:val="21"/>
    </w:rPr>
  </w:style>
  <w:style w:type="paragraph" w:styleId="1000">
    <w:name w:val="批注框文本"/>
    <w:basedOn w:val="924"/>
    <w:next w:val="1000"/>
    <w:link w:val="949"/>
    <w:semiHidden/>
    <w:rPr>
      <w:rFonts w:ascii="Times New Roman" w:hAnsi="Times New Roman" w:eastAsia="宋体" w:cs="Times New Roman"/>
      <w:sz w:val="18"/>
      <w:szCs w:val="18"/>
    </w:rPr>
  </w:style>
  <w:style w:type="paragraph" w:styleId="1001">
    <w:name w:val="页眉"/>
    <w:basedOn w:val="924"/>
    <w:next w:val="1001"/>
    <w:link w:val="9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02">
    <w:name w:val="正文首行缩进"/>
    <w:basedOn w:val="924"/>
    <w:next w:val="1002"/>
    <w:link w:val="953"/>
    <w:pPr>
      <w:ind w:firstLine="200"/>
      <w:spacing w:line="360" w:lineRule="auto"/>
    </w:pPr>
    <w:rPr>
      <w:rFonts w:ascii="仿宋_GB2312" w:hAnsi="Times New Roman" w:eastAsia="仿宋_GB2312" w:cs="Times New Roman"/>
      <w:sz w:val="30"/>
      <w:szCs w:val="30"/>
    </w:rPr>
  </w:style>
  <w:style w:type="paragraph" w:styleId="1003">
    <w:name w:val="普通(网站)"/>
    <w:basedOn w:val="924"/>
    <w:next w:val="1003"/>
    <w:link w:val="924"/>
    <w:uiPriority w:val="99"/>
    <w:pPr>
      <w:jc w:val="left"/>
      <w:spacing w:before="100" w:beforeAutospacing="1" w:after="100" w:afterAutospacing="1"/>
      <w:widowControl/>
    </w:pPr>
    <w:rPr>
      <w:rFonts w:ascii="宋体" w:hAnsi="宋体" w:eastAsia="宋体" w:cs="宋体"/>
      <w:sz w:val="24"/>
      <w:szCs w:val="24"/>
    </w:rPr>
  </w:style>
  <w:style w:type="paragraph" w:styleId="1004">
    <w:name w:val="列表"/>
    <w:basedOn w:val="924"/>
    <w:next w:val="1004"/>
    <w:link w:val="924"/>
    <w:pPr>
      <w:ind w:left="200" w:hanging="200"/>
    </w:pPr>
    <w:rPr>
      <w:rFonts w:ascii="Times New Roman" w:hAnsi="Times New Roman" w:eastAsia="宋体" w:cs="Times New Roman"/>
      <w:szCs w:val="21"/>
    </w:rPr>
  </w:style>
  <w:style w:type="paragraph" w:styleId="1005">
    <w:name w:val="页脚"/>
    <w:basedOn w:val="924"/>
    <w:next w:val="1005"/>
    <w:link w:val="948"/>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1006">
    <w:name w:val="无间隔"/>
    <w:next w:val="1006"/>
    <w:link w:val="924"/>
    <w:uiPriority w:val="99"/>
    <w:qFormat/>
    <w:pPr>
      <w:jc w:val="both"/>
      <w:widowControl w:val="off"/>
    </w:pPr>
    <w:rPr>
      <w:rFonts w:ascii="Times New Roman" w:hAnsi="Times New Roman"/>
      <w:sz w:val="21"/>
      <w:szCs w:val="21"/>
      <w:lang w:val="en-US" w:eastAsia="zh-CN" w:bidi="ar-SA"/>
    </w:rPr>
  </w:style>
  <w:style w:type="paragraph" w:styleId="1007">
    <w:name w:val="xl26"/>
    <w:basedOn w:val="924"/>
    <w:next w:val="1007"/>
    <w:link w:val="9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8">
    <w:name w:val=" Char Char Char Char Char Char Char Char Char Char"/>
    <w:basedOn w:val="924"/>
    <w:next w:val="1008"/>
    <w:link w:val="924"/>
    <w:pPr>
      <w:spacing w:line="360" w:lineRule="auto"/>
    </w:pPr>
    <w:rPr>
      <w:rFonts w:ascii="Times New Roman" w:hAnsi="Times New Roman" w:eastAsia="宋体" w:cs="Times New Roman"/>
      <w:sz w:val="24"/>
      <w:szCs w:val="20"/>
    </w:rPr>
  </w:style>
  <w:style w:type="paragraph" w:styleId="1009">
    <w:name w:val="AONormal"/>
    <w:next w:val="1009"/>
    <w:link w:val="924"/>
    <w:qFormat/>
    <w:pPr>
      <w:ind w:firstLine="440"/>
      <w:spacing w:line="400" w:lineRule="exact"/>
    </w:pPr>
    <w:rPr>
      <w:rFonts w:ascii="华文楷体" w:hAnsi="华文楷体" w:eastAsia="华文楷体" w:cs="华文楷体"/>
      <w:sz w:val="22"/>
      <w:szCs w:val="21"/>
      <w:lang w:val="en-US" w:eastAsia="zh-CN" w:bidi="ar-SA"/>
    </w:rPr>
  </w:style>
  <w:style w:type="paragraph" w:styleId="1010">
    <w:name w:val="table_lines"/>
    <w:basedOn w:val="924"/>
    <w:next w:val="1010"/>
    <w:link w:val="924"/>
    <w:pPr>
      <w:jc w:val="left"/>
      <w:widowControl/>
    </w:pPr>
    <w:rPr>
      <w:rFonts w:ascii="Times New Roman" w:hAnsi="Times New Roman" w:eastAsia="宋体" w:cs="Times New Roman"/>
      <w:sz w:val="20"/>
      <w:szCs w:val="20"/>
      <w:lang w:val="de-DE" w:eastAsia="de-DE"/>
    </w:rPr>
  </w:style>
  <w:style w:type="paragraph" w:styleId="1011">
    <w:name w:val="xl28"/>
    <w:basedOn w:val="924"/>
    <w:next w:val="1011"/>
    <w:link w:val="9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2">
    <w:name w:val="标题3"/>
    <w:basedOn w:val="924"/>
    <w:next w:val="924"/>
    <w:link w:val="924"/>
    <w:pPr>
      <w:ind w:firstLine="624"/>
      <w:spacing w:line="590" w:lineRule="atLeast"/>
    </w:pPr>
    <w:rPr>
      <w:rFonts w:ascii="方正黑体_GBK" w:hAnsi="Times New Roman" w:eastAsia="方正黑体_GBK" w:cs="Times New Roman"/>
      <w:sz w:val="32"/>
      <w:szCs w:val="32"/>
    </w:rPr>
  </w:style>
  <w:style w:type="paragraph" w:styleId="1013">
    <w:name w:val="font6"/>
    <w:basedOn w:val="924"/>
    <w:next w:val="1013"/>
    <w:link w:val="924"/>
    <w:pPr>
      <w:jc w:val="left"/>
      <w:spacing w:before="100" w:beforeAutospacing="1" w:after="100" w:afterAutospacing="1"/>
      <w:widowControl/>
    </w:pPr>
    <w:rPr>
      <w:rFonts w:hint="eastAsia" w:ascii="宋体" w:hAnsi="宋体" w:eastAsia="宋体" w:cs="Times New Roman"/>
      <w:sz w:val="28"/>
      <w:szCs w:val="28"/>
      <w:u w:val="single"/>
    </w:rPr>
  </w:style>
  <w:style w:type="paragraph" w:styleId="1014">
    <w:name w:val=" Char Char Char Char"/>
    <w:basedOn w:val="979"/>
    <w:next w:val="1014"/>
    <w:link w:val="924"/>
    <w:pPr>
      <w:spacing w:line="360" w:lineRule="auto"/>
    </w:pPr>
    <w:rPr>
      <w:rFonts w:ascii="Tahoma" w:hAnsi="Tahoma"/>
      <w:sz w:val="24"/>
      <w:szCs w:val="24"/>
    </w:rPr>
  </w:style>
  <w:style w:type="paragraph" w:styleId="1015">
    <w:name w:val="二级目录"/>
    <w:next w:val="924"/>
    <w:link w:val="963"/>
    <w:pPr>
      <w:numPr>
        <w:ilvl w:val="0"/>
        <w:numId w:val="2"/>
      </w:numPr>
      <w:tabs>
        <w:tab w:val="left" w:pos="907" w:leader="none"/>
        <w:tab w:val="left" w:pos="1145" w:leader="none"/>
      </w:tabs>
      <w:outlineLvl w:val="1"/>
    </w:pPr>
    <w:rPr>
      <w:b/>
      <w:sz w:val="30"/>
      <w:szCs w:val="28"/>
      <w:lang w:val="en-US" w:eastAsia="zh-CN" w:bidi="ar-SA"/>
    </w:rPr>
  </w:style>
  <w:style w:type="paragraph" w:styleId="1016">
    <w:name w:val="font7"/>
    <w:basedOn w:val="924"/>
    <w:next w:val="1016"/>
    <w:link w:val="924"/>
    <w:pPr>
      <w:jc w:val="left"/>
      <w:spacing w:before="100" w:beforeAutospacing="1" w:after="100" w:afterAutospacing="1"/>
      <w:widowControl/>
    </w:pPr>
    <w:rPr>
      <w:rFonts w:hint="eastAsia" w:ascii="宋体" w:hAnsi="宋体" w:eastAsia="宋体" w:cs="Times New Roman"/>
      <w:sz w:val="18"/>
      <w:szCs w:val="18"/>
    </w:rPr>
  </w:style>
  <w:style w:type="paragraph" w:styleId="1017">
    <w:name w:val="xl24"/>
    <w:basedOn w:val="924"/>
    <w:next w:val="1017"/>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Body Text(ch)"/>
    <w:basedOn w:val="924"/>
    <w:next w:val="989"/>
    <w:link w:val="924"/>
    <w:pPr>
      <w:spacing w:after="120"/>
    </w:pPr>
    <w:rPr>
      <w:rFonts w:ascii="宋体" w:hAnsi="Arial" w:eastAsia="宋体" w:cs="Times New Roman"/>
      <w:bCs/>
      <w:iCs/>
      <w:szCs w:val="24"/>
    </w:rPr>
  </w:style>
  <w:style w:type="paragraph" w:styleId="1019">
    <w:name w:val="xl29"/>
    <w:basedOn w:val="924"/>
    <w:next w:val="1019"/>
    <w:link w:val="92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0">
    <w:name w:val="列出段落"/>
    <w:basedOn w:val="924"/>
    <w:next w:val="1020"/>
    <w:link w:val="924"/>
    <w:qFormat/>
    <w:pPr>
      <w:contextualSpacing/>
      <w:ind w:left="720"/>
      <w:jc w:val="left"/>
      <w:widowControl/>
    </w:pPr>
    <w:rPr>
      <w:rFonts w:ascii="Calibri" w:hAnsi="Calibri" w:eastAsia="宋体" w:cs="Times New Roman"/>
      <w:sz w:val="24"/>
      <w:szCs w:val="24"/>
      <w:lang w:eastAsia="en-US" w:bidi="en-US"/>
    </w:rPr>
  </w:style>
  <w:style w:type="paragraph" w:styleId="1021">
    <w:name w:val="xl25"/>
    <w:basedOn w:val="924"/>
    <w:next w:val="1021"/>
    <w:link w:val="92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xl27"/>
    <w:basedOn w:val="924"/>
    <w:next w:val="1022"/>
    <w:link w:val="9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table_1stline"/>
    <w:basedOn w:val="924"/>
    <w:next w:val="1023"/>
    <w:link w:val="924"/>
    <w:pPr>
      <w:jc w:val="left"/>
      <w:spacing w:before="120"/>
      <w:widowControl/>
    </w:pPr>
    <w:rPr>
      <w:rFonts w:ascii="Times New Roman" w:hAnsi="Times New Roman" w:eastAsia="宋体" w:cs="Times New Roman"/>
      <w:bCs/>
      <w:sz w:val="20"/>
      <w:szCs w:val="20"/>
      <w:lang w:val="de-DE" w:eastAsia="de-DE"/>
    </w:rPr>
  </w:style>
  <w:style w:type="paragraph" w:styleId="1024">
    <w:name w:val="font5"/>
    <w:basedOn w:val="924"/>
    <w:next w:val="1024"/>
    <w:link w:val="924"/>
    <w:pPr>
      <w:jc w:val="left"/>
      <w:spacing w:before="100" w:beforeAutospacing="1" w:after="100" w:afterAutospacing="1"/>
      <w:widowControl/>
    </w:pPr>
    <w:rPr>
      <w:rFonts w:hint="eastAsia" w:ascii="宋体" w:hAnsi="宋体" w:eastAsia="宋体" w:cs="Times New Roman"/>
      <w:sz w:val="28"/>
      <w:szCs w:val="28"/>
    </w:rPr>
  </w:style>
  <w:style w:type="paragraph" w:styleId="1025">
    <w:name w:val="4"/>
    <w:basedOn w:val="924"/>
    <w:next w:val="997"/>
    <w:link w:val="924"/>
    <w:pPr>
      <w:ind w:firstLine="420"/>
      <w:spacing w:line="360" w:lineRule="auto"/>
    </w:pPr>
    <w:rPr>
      <w:rFonts w:ascii="Times New Roman" w:hAnsi="Times New Roman" w:eastAsia="宋体" w:cs="Times New Roman"/>
      <w:color w:val="ff0000"/>
      <w:sz w:val="24"/>
      <w:szCs w:val="24"/>
    </w:rPr>
  </w:style>
  <w:style w:type="paragraph" w:styleId="1026">
    <w:name w:val="列出段落1"/>
    <w:basedOn w:val="924"/>
    <w:next w:val="1026"/>
    <w:link w:val="956"/>
    <w:qFormat/>
    <w:pPr>
      <w:contextualSpacing/>
      <w:ind w:left="720"/>
      <w:jc w:val="left"/>
      <w:widowControl/>
    </w:pPr>
    <w:rPr>
      <w:rFonts w:ascii="Calibri" w:hAnsi="Calibri"/>
      <w:sz w:val="24"/>
      <w:szCs w:val="24"/>
      <w:lang w:eastAsia="en-US" w:bidi="en-US"/>
    </w:rPr>
  </w:style>
  <w:style w:type="paragraph" w:styleId="1027">
    <w:name w:val="普通 (Web)"/>
    <w:basedOn w:val="924"/>
    <w:next w:val="1027"/>
    <w:link w:val="924"/>
    <w:pPr>
      <w:jc w:val="left"/>
      <w:spacing w:before="100" w:beforeAutospacing="1" w:after="100" w:afterAutospacing="1"/>
      <w:widowControl/>
    </w:pPr>
    <w:rPr>
      <w:rFonts w:ascii="宋体" w:hAnsi="宋体" w:eastAsia="宋体" w:cs="Times New Roman"/>
      <w:sz w:val="24"/>
      <w:szCs w:val="24"/>
    </w:rPr>
  </w:style>
  <w:style w:type="paragraph" w:styleId="1028">
    <w:name w:val="Char"/>
    <w:basedOn w:val="924"/>
    <w:next w:val="1028"/>
    <w:link w:val="924"/>
    <w:pPr>
      <w:ind w:firstLine="200"/>
      <w:tabs>
        <w:tab w:val="left" w:pos="360" w:leader="none"/>
      </w:tabs>
    </w:pPr>
    <w:rPr>
      <w:rFonts w:ascii="Times New Roman" w:hAnsi="Times New Roman" w:eastAsia="宋体" w:cs="Times New Roman"/>
      <w:sz w:val="28"/>
      <w:szCs w:val="30"/>
    </w:rPr>
  </w:style>
  <w:style w:type="paragraph" w:styleId="1029">
    <w:name w:val="标题1"/>
    <w:basedOn w:val="924"/>
    <w:next w:val="924"/>
    <w:link w:val="92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30">
    <w:name w:val="Char Char Char Char"/>
    <w:basedOn w:val="979"/>
    <w:next w:val="1030"/>
    <w:link w:val="924"/>
    <w:pPr>
      <w:spacing w:line="360" w:lineRule="auto"/>
    </w:pPr>
    <w:rPr>
      <w:rFonts w:ascii="Tahoma" w:hAnsi="Tahoma"/>
      <w:sz w:val="24"/>
      <w:szCs w:val="24"/>
    </w:rPr>
  </w:style>
  <w:style w:type="paragraph" w:styleId="1031">
    <w:name w:val="附录1"/>
    <w:next w:val="1031"/>
    <w:link w:val="92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2">
    <w:name w:val="修订"/>
    <w:next w:val="1032"/>
    <w:link w:val="924"/>
    <w:uiPriority w:val="99"/>
    <w:semiHidden/>
    <w:rPr>
      <w:rFonts w:ascii="Times New Roman" w:hAnsi="Times New Roman"/>
      <w:sz w:val="21"/>
      <w:szCs w:val="21"/>
      <w:lang w:val="en-US" w:eastAsia="zh-CN" w:bidi="ar-SA"/>
    </w:rPr>
  </w:style>
  <w:style w:type="paragraph" w:styleId="1033">
    <w:name w:val="普通正文"/>
    <w:basedOn w:val="924"/>
    <w:next w:val="1033"/>
    <w:link w:val="924"/>
    <w:pPr>
      <w:ind w:firstLine="480"/>
      <w:jc w:val="left"/>
      <w:spacing w:before="120" w:after="120" w:line="360" w:lineRule="auto"/>
    </w:pPr>
    <w:rPr>
      <w:rFonts w:ascii="Arial" w:hAnsi="Arial" w:eastAsia="宋体" w:cs="Times New Roman"/>
      <w:sz w:val="24"/>
      <w:szCs w:val="24"/>
    </w:rPr>
  </w:style>
  <w:style w:type="paragraph" w:styleId="1034">
    <w:name w:val=" Char"/>
    <w:basedOn w:val="979"/>
    <w:next w:val="1034"/>
    <w:link w:val="924"/>
    <w:rPr>
      <w:rFonts w:ascii="Tahoma" w:hAnsi="Tahoma"/>
      <w:sz w:val="24"/>
      <w:szCs w:val="24"/>
    </w:rPr>
  </w:style>
  <w:style w:type="paragraph" w:styleId="1035">
    <w:name w:val="Char Char Char Char Char Char Char Char"/>
    <w:basedOn w:val="924"/>
    <w:next w:val="1035"/>
    <w:link w:val="924"/>
    <w:pPr>
      <w:jc w:val="left"/>
      <w:spacing w:after="160" w:line="240" w:lineRule="exact"/>
      <w:widowControl/>
    </w:pPr>
    <w:rPr>
      <w:rFonts w:ascii="Verdana" w:hAnsi="Verdana" w:eastAsia="宋体" w:cs="Times New Roman"/>
      <w:sz w:val="20"/>
      <w:szCs w:val="20"/>
      <w:lang w:eastAsia="en-US"/>
    </w:rPr>
  </w:style>
  <w:style w:type="paragraph" w:styleId="1036">
    <w:name w:val=" Char Char Char Char Char Char Char Char"/>
    <w:basedOn w:val="924"/>
    <w:next w:val="1036"/>
    <w:link w:val="924"/>
    <w:pPr>
      <w:jc w:val="left"/>
      <w:spacing w:after="160" w:line="240" w:lineRule="exact"/>
      <w:widowControl/>
    </w:pPr>
    <w:rPr>
      <w:rFonts w:ascii="Verdana" w:hAnsi="Verdana" w:eastAsia="宋体" w:cs="Times New Roman"/>
      <w:sz w:val="20"/>
      <w:szCs w:val="20"/>
      <w:lang w:eastAsia="en-US"/>
    </w:rPr>
  </w:style>
  <w:style w:type="paragraph" w:styleId="1037">
    <w:name w:val="样式1"/>
    <w:basedOn w:val="924"/>
    <w:next w:val="1037"/>
    <w:link w:val="924"/>
    <w:pPr>
      <w:numPr>
        <w:ilvl w:val="0"/>
        <w:numId w:val="3"/>
      </w:numPr>
      <w:tabs>
        <w:tab w:val="left" w:pos="709" w:leader="none"/>
      </w:tabs>
    </w:pPr>
    <w:rPr>
      <w:rFonts w:ascii="宋体" w:hAnsi="宋体" w:eastAsia="宋体" w:cs="Times New Roman"/>
      <w:szCs w:val="21"/>
    </w:rPr>
  </w:style>
  <w:style w:type="paragraph" w:styleId="1038">
    <w:name w:val="图标"/>
    <w:basedOn w:val="924"/>
    <w:next w:val="924"/>
    <w:link w:val="92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name w:val="xl30"/>
    <w:basedOn w:val="924"/>
    <w:next w:val="1039"/>
    <w:link w:val="924"/>
    <w:pPr>
      <w:jc w:val="center"/>
      <w:spacing w:before="100" w:beforeAutospacing="1" w:after="100" w:afterAutospacing="1"/>
      <w:widowControl/>
    </w:pPr>
    <w:rPr>
      <w:rFonts w:ascii="宋体" w:hAnsi="宋体" w:eastAsia="宋体" w:cs="Times New Roman"/>
      <w:b/>
      <w:bCs/>
      <w:sz w:val="36"/>
      <w:szCs w:val="36"/>
    </w:rPr>
  </w:style>
  <w:style w:type="table" w:styleId="1040">
    <w:name w:val="网格型"/>
    <w:basedOn w:val="935"/>
    <w:next w:val="1040"/>
    <w:link w:val="924"/>
    <w:pPr>
      <w:jc w:val="both"/>
      <w:widowControl w:val="off"/>
    </w:pPr>
    <w:rPr>
      <w:rFonts w:ascii="Times New Roman" w:hAnsi="Times New Roman" w:eastAsia="宋体" w:cs="Times New Roman"/>
      <w:sz w:val="20"/>
      <w:szCs w:val="20"/>
    </w:rPr>
    <w:tbl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7</cp:revision>
  <dcterms:created xsi:type="dcterms:W3CDTF">2023-03-16T02:13:00Z</dcterms:created>
  <dcterms:modified xsi:type="dcterms:W3CDTF">2026-07-03T07:49:10Z</dcterms:modified>
</cp:coreProperties>
</file>